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Teolog a filozof Komenský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Komenský žil v době, kdy se v části společnosti šířily myšlenky o nadcházejícím konci světa. Nejen k této otázce se Komenský vyjadřoval. Byl také zastáncem dialogu mezi vyznáními, zejména mezi reformovanými církvemi. Zároveň byl sám aktivním autorem, koneckonců i na jeho základní literární dílo Labyrint světa a ráj srdce je možné nahlížet jako na spis teologicko-filozofický.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825.0" w:type="dxa"/>
        <w:jc w:val="left"/>
        <w:tblInd w:w="0.0" w:type="dxa"/>
        <w:tblLayout w:type="fixed"/>
        <w:tblLook w:val="0600"/>
      </w:tblPr>
      <w:tblGrid>
        <w:gridCol w:w="10864"/>
        <w:gridCol w:w="1691"/>
        <w:gridCol w:w="3270"/>
        <w:tblGridChange w:id="0">
          <w:tblGrid>
            <w:gridCol w:w="10864"/>
            <w:gridCol w:w="1691"/>
            <w:gridCol w:w="3270"/>
          </w:tblGrid>
        </w:tblGridChange>
      </w:tblGrid>
      <w:tr>
        <w:trPr>
          <w:trHeight w:val="49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Video: </w:t>
            </w: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Komenského názory teologické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39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  <w:t xml:space="preserve">Ve videu se mluví o tom, že Komenský byl v církevních otázkách zastáncem dialogu. O jaký dialog se v českém prostředí jednalo?</w:t>
            </w:r>
          </w:p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7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  <w:t xml:space="preserve">Zjistěte, co znamená zásada </w:t>
            </w:r>
            <w:r w:rsidDel="00000000" w:rsidR="00000000" w:rsidRPr="00000000">
              <w:rPr>
                <w:i w:val="1"/>
                <w:rtl w:val="0"/>
              </w:rPr>
              <w:t xml:space="preserve">Cuis regio eius religio</w:t>
            </w:r>
            <w:r w:rsidDel="00000000" w:rsidR="00000000" w:rsidRPr="00000000">
              <w:rPr>
                <w:rtl w:val="0"/>
              </w:rPr>
              <w:t xml:space="preserve">, o níž se mluví ve videu: 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2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  <w:t xml:space="preserve">V ukázce se také mluví o tisícileté říši Kristově, která bude předcházet konci světa.  Zjistěte, jakým termínem se toto přesvědčení označuje.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825.0" w:type="dxa"/>
        <w:jc w:val="left"/>
        <w:tblInd w:w="0.0" w:type="dxa"/>
        <w:tblLayout w:type="fixed"/>
        <w:tblLook w:val="0600"/>
      </w:tblPr>
      <w:tblGrid>
        <w:gridCol w:w="10864"/>
        <w:gridCol w:w="1691"/>
        <w:gridCol w:w="3270"/>
        <w:tblGridChange w:id="0">
          <w:tblGrid>
            <w:gridCol w:w="10864"/>
            <w:gridCol w:w="1691"/>
            <w:gridCol w:w="3270"/>
          </w:tblGrid>
        </w:tblGridChange>
      </w:tblGrid>
      <w:tr>
        <w:trPr>
          <w:trHeight w:val="49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Video: </w:t>
            </w: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Labyrint světa a ráj srdce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5" w:hRule="atLeast"/>
        </w:trPr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89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  <w:t xml:space="preserve">Ve videu se mluví o tom, že dochází k posunu </w:t>
            </w:r>
            <w:r w:rsidDel="00000000" w:rsidR="00000000" w:rsidRPr="00000000">
              <w:rPr>
                <w:i w:val="1"/>
                <w:rtl w:val="0"/>
              </w:rPr>
              <w:t xml:space="preserve">od divadla věcí k dramatům hledajícím člověka</w:t>
            </w:r>
            <w:r w:rsidDel="00000000" w:rsidR="00000000" w:rsidRPr="00000000">
              <w:rPr>
                <w:rtl w:val="0"/>
              </w:rPr>
              <w:t xml:space="preserve">. Vysvětlete tento výrok.</w:t>
            </w:r>
          </w:p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6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  <w:t xml:space="preserve">Vysvětlete, co je manýrismus.</w:t>
            </w:r>
          </w:p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36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  <w:t xml:space="preserve">Vysvětlete, co je ve videu myšleno vnitřním a vnějším exilem.</w:t>
            </w:r>
          </w:p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566" w:top="566" w:left="566" w:right="56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ource Sans Pro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Sans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>
        <w:sz w:val="2"/>
        <w:szCs w:val="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b="0" l="0" r="0" t="0"/>
          <wp:wrapSquare wrapText="bothSides" distB="114300" distT="114300" distL="114300" distR="114300"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3"/>
      <w:tblW w:w="9915.0" w:type="dxa"/>
      <w:jc w:val="left"/>
      <w:tblInd w:w="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7095"/>
      <w:gridCol w:w="2820"/>
      <w:tblGridChange w:id="0">
        <w:tblGrid>
          <w:gridCol w:w="7095"/>
          <w:gridCol w:w="2820"/>
        </w:tblGrid>
      </w:tblGridChange>
    </w:tblGrid>
    <w:tr>
      <w:trPr>
        <w:trHeight w:val="180" w:hRule="atLeast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027">
          <w:pPr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Teolog a filozof Komenský</w:t>
          </w:r>
        </w:p>
        <w:p w:rsidR="00000000" w:rsidDel="00000000" w:rsidP="00000000" w:rsidRDefault="00000000" w:rsidRPr="00000000" w14:paraId="00000028">
          <w:pPr>
            <w:rPr>
              <w:color w:val="666666"/>
              <w:sz w:val="20"/>
              <w:szCs w:val="20"/>
            </w:rPr>
          </w:pPr>
          <w:r w:rsidDel="00000000" w:rsidR="00000000" w:rsidRPr="00000000">
            <w:rPr>
              <w:color w:val="666666"/>
              <w:sz w:val="20"/>
              <w:szCs w:val="20"/>
              <w:rtl w:val="0"/>
            </w:rPr>
            <w:t xml:space="preserve">Pracovní list k samostatné práci žáka </w:t>
          </w:r>
          <w:r w:rsidDel="00000000" w:rsidR="00000000" w:rsidRPr="00000000">
            <w:rPr>
              <w:color w:val="666666"/>
              <w:sz w:val="20"/>
              <w:szCs w:val="20"/>
              <w:u w:val="single"/>
              <w:rtl w:val="0"/>
            </w:rPr>
            <w:t xml:space="preserve">střední školy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029">
          <w:pPr>
            <w:jc w:val="right"/>
            <w:rPr/>
          </w:pPr>
          <w:r w:rsidDel="00000000" w:rsidR="00000000" w:rsidRPr="00000000">
            <w:rPr>
              <w:rtl w:val="0"/>
            </w:rPr>
            <w:t xml:space="preserve">Jméno žáka:</w:t>
          </w:r>
        </w:p>
      </w:tc>
    </w:tr>
  </w:tbl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  <w:tab/>
      <w:tab/>
      <w:tab/>
    </w: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b="0" l="0" r="0" t="0"/>
          <wp:wrapSquare wrapText="bothSides" distB="114300" distT="11430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b="0" l="0" r="0" t="0"/>
          <wp:wrapSquare wrapText="bothSides" distB="114300" distT="114300" distL="114300" distR="114300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sz w:val="22"/>
        <w:szCs w:val="22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Source Sans Pro SemiBold" w:cs="Source Sans Pro SemiBold" w:eastAsia="Source Sans Pro SemiBold" w:hAnsi="Source Sans Pro SemiBold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Source Sans Pro SemiBold" w:cs="Source Sans Pro SemiBold" w:eastAsia="Source Sans Pro SemiBold" w:hAnsi="Source Sans Pro SemiBold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00"/>
      <w:outlineLvl w:val="0"/>
    </w:pPr>
    <w:rPr>
      <w:rFonts w:ascii="Source Sans Pro SemiBold" w:cs="Source Sans Pro SemiBold" w:eastAsia="Source Sans Pro SemiBold" w:hAnsi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rFonts w:ascii="Source Sans Pro SemiBold" w:cs="Source Sans Pro SemiBold" w:eastAsia="Source Sans Pro SemiBold" w:hAnsi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Zhlav">
    <w:name w:val="header"/>
    <w:basedOn w:val="Normln"/>
    <w:link w:val="ZhlavChar"/>
    <w:uiPriority w:val="99"/>
    <w:unhideWhenUsed w:val="1"/>
    <w:rsid w:val="00377BC2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 w:val="1"/>
    <w:rsid w:val="00377BC2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 w:val="1"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74047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du.ceskatelevize.cz/video/6663" TargetMode="External"/><Relationship Id="rId8" Type="http://schemas.openxmlformats.org/officeDocument/2006/relationships/hyperlink" Target="https://edu.ceskatelevize.cz/video/6623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SemiBold-regular.ttf"/><Relationship Id="rId2" Type="http://schemas.openxmlformats.org/officeDocument/2006/relationships/font" Target="fonts/SourceSansProSemiBold-bold.ttf"/><Relationship Id="rId3" Type="http://schemas.openxmlformats.org/officeDocument/2006/relationships/font" Target="fonts/SourceSansProSemiBold-italic.ttf"/><Relationship Id="rId4" Type="http://schemas.openxmlformats.org/officeDocument/2006/relationships/font" Target="fonts/SourceSansProSemiBold-boldItalic.ttf"/><Relationship Id="rId5" Type="http://schemas.openxmlformats.org/officeDocument/2006/relationships/font" Target="fonts/SourceSansPro-regular.ttf"/><Relationship Id="rId6" Type="http://schemas.openxmlformats.org/officeDocument/2006/relationships/font" Target="fonts/SourceSansPro-bold.ttf"/><Relationship Id="rId7" Type="http://schemas.openxmlformats.org/officeDocument/2006/relationships/font" Target="fonts/SourceSansPro-italic.ttf"/><Relationship Id="rId8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nVKv/pMjI4sSeMZ7XlHx+FvPOw==">AMUW2mWbk2NwSUJ5TfUQqE64Cfu4ApHR0IxDnaTQZlap7cpU3shlfpQ5TefIlqVUZD6WVH0whGMKyQ508QuTK/ST6f5U8OFmQK+oLTehp0TTdd32PuPF5GE=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2020-05-04T21:58:00Z</dcterms:created>
  <dc:creator>Martin Formánek</dc:creator>
</cp:coreProperties>
</file>