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2A752BA" w:rsidR="00FA405E" w:rsidRPr="005152A0" w:rsidRDefault="005152A0" w:rsidP="7DAA1868">
      <w:pPr>
        <w:pStyle w:val="Nzevpracovnholistu"/>
        <w:sectPr w:rsidR="00FA405E" w:rsidRPr="00515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</w:t>
      </w:r>
      <w:r w:rsidR="00286CC1">
        <w:t>o</w:t>
      </w:r>
      <w:r w:rsidR="008A1292">
        <w:t xml:space="preserve">vé psaní </w:t>
      </w:r>
      <w:r w:rsidR="008F0378" w:rsidRPr="008F0378">
        <w:rPr>
          <w:i/>
          <w:iCs/>
        </w:rPr>
        <w:t>i/y</w:t>
      </w:r>
      <w:r>
        <w:t xml:space="preserve"> 2024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533202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F04ECE">
        <w:rPr>
          <w:sz w:val="24"/>
        </w:rPr>
        <w:t xml:space="preserve"> – od vyjmenovaných slov přes koncovky při skloňování až po 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758A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746FC0F9" w14:textId="58A02276" w:rsidR="0074625D" w:rsidRDefault="005152A0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roce 1918 se zásadně proměnil</w:t>
      </w:r>
      <w:r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hranice ve střední a jihov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chodní Evropě. Předválečné velké říše se rozpadl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na řadu nov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ch, tzv. nástupnických států. Při vzniku nov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ch států se tu a tam projev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l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rozpory mezi nim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. Takov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m případem je i h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storické Těšínsko, které bylo tradičně os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dleno Čechy i Poláky, nezanedbatelnou menšinu tvořil</w:t>
      </w:r>
      <w:r w:rsidR="00F04ECE" w:rsidRPr="00DC5D9E">
        <w:rPr>
          <w:sz w:val="24"/>
          <w:shd w:val="clear" w:color="auto" w:fill="FFFF00"/>
        </w:rPr>
        <w:t>___</w:t>
      </w:r>
      <w:r w:rsidR="00F04ECE">
        <w:rPr>
          <w:sz w:val="24"/>
          <w:shd w:val="clear" w:color="auto" w:fill="FFFF00"/>
        </w:rPr>
        <w:t xml:space="preserve"> </w:t>
      </w:r>
      <w:r>
        <w:rPr>
          <w:sz w:val="24"/>
        </w:rPr>
        <w:t>Němci. Podle původní domluv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měla hranice mezi oběma stát</w:t>
      </w:r>
      <w:r w:rsidR="00F04ECE">
        <w:rPr>
          <w:sz w:val="24"/>
        </w:rPr>
        <w:t>y</w:t>
      </w:r>
      <w:r w:rsidR="00847BFC">
        <w:rPr>
          <w:sz w:val="24"/>
        </w:rPr>
        <w:t xml:space="preserve"> </w:t>
      </w:r>
      <w:r>
        <w:rPr>
          <w:sz w:val="24"/>
        </w:rPr>
        <w:t>kopírovat hranici jaz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kovou. Mezivládní jednání ovšem dlouho k 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sledku nevedla, </w:t>
      </w:r>
      <w:r w:rsidR="0074625D">
        <w:rPr>
          <w:sz w:val="24"/>
        </w:rPr>
        <w:t>spory nev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řešila ani m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rová konference v Paříži, zástupci české vlády měl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 xml:space="preserve"> úplně jiné představ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, než jaké prosazoval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 xml:space="preserve"> Poláci. K tomu mus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me připočítat ještě zájm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 xml:space="preserve"> německy mluv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cího ob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vatelstva. Těšínský reg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on se stal m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stem d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plomatického nekl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>du, který trval až do dob</w:t>
      </w:r>
      <w:r w:rsidR="00F04ECE" w:rsidRPr="00DC5D9E">
        <w:rPr>
          <w:sz w:val="24"/>
          <w:shd w:val="clear" w:color="auto" w:fill="FFFF00"/>
        </w:rPr>
        <w:t>___</w:t>
      </w:r>
      <w:r w:rsidR="0074625D">
        <w:rPr>
          <w:sz w:val="24"/>
        </w:rPr>
        <w:t xml:space="preserve"> po druhé světové válce.</w:t>
      </w:r>
    </w:p>
    <w:p w14:paraId="2D6E8B3C" w14:textId="1A4C3E0A" w:rsidR="00F84F36" w:rsidRDefault="0074625D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Československá část Těšínska, které bylo 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soce prům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slov</w:t>
      </w:r>
      <w:r w:rsidR="00F04ECE" w:rsidRPr="00DC5D9E">
        <w:rPr>
          <w:sz w:val="24"/>
          <w:shd w:val="clear" w:color="auto" w:fill="FFFF00"/>
        </w:rPr>
        <w:t>___</w:t>
      </w:r>
      <w:r w:rsidR="00F04ECE">
        <w:rPr>
          <w:sz w:val="24"/>
        </w:rPr>
        <w:t>m</w:t>
      </w:r>
      <w:r>
        <w:rPr>
          <w:sz w:val="24"/>
        </w:rPr>
        <w:t xml:space="preserve"> reg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onem, se </w:t>
      </w:r>
      <w:r w:rsidR="00F04ECE">
        <w:rPr>
          <w:sz w:val="24"/>
        </w:rPr>
        <w:t xml:space="preserve">po druhé světové válce </w:t>
      </w:r>
      <w:r>
        <w:rPr>
          <w:sz w:val="24"/>
        </w:rPr>
        <w:t>proměnila jaz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kově. Za v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s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>dlené Němce přišl</w:t>
      </w:r>
      <w:r w:rsidR="00F04ECE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r w:rsidR="00F04ECE">
        <w:rPr>
          <w:sz w:val="24"/>
        </w:rPr>
        <w:t xml:space="preserve">hlavně </w:t>
      </w:r>
      <w:r>
        <w:rPr>
          <w:sz w:val="24"/>
        </w:rPr>
        <w:t>Slováci a Romové</w:t>
      </w:r>
      <w:r w:rsidR="00D928EF">
        <w:rPr>
          <w:sz w:val="24"/>
        </w:rPr>
        <w:t>. Postupně došlo k m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sení m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stní mluv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 xml:space="preserve"> v l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bovolné komb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naci s v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raz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 xml:space="preserve"> a jaz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kov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>m</w:t>
      </w:r>
      <w:r w:rsidR="00F04ECE" w:rsidRPr="00DC5D9E">
        <w:rPr>
          <w:sz w:val="24"/>
          <w:shd w:val="clear" w:color="auto" w:fill="FFFF00"/>
        </w:rPr>
        <w:t>___</w:t>
      </w:r>
      <w:r w:rsidR="00D928EF">
        <w:rPr>
          <w:sz w:val="24"/>
        </w:rPr>
        <w:t xml:space="preserve"> prvky z češtiny, polštiny i slovenštiny. </w:t>
      </w:r>
      <w:r w:rsidR="00B6603F">
        <w:rPr>
          <w:sz w:val="24"/>
        </w:rPr>
        <w:t>Z Ostrav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 xml:space="preserve"> se stalo centrum celé oblasti, proměnila se další města – Karv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ná, Bohum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n, vznikl Hav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řov. Jižní část reg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onu začala být v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hledávána tur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sty, L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sá hora se stala obl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beným cílem v</w:t>
      </w:r>
      <w:r w:rsidR="00F04ECE" w:rsidRPr="00DC5D9E">
        <w:rPr>
          <w:sz w:val="24"/>
          <w:shd w:val="clear" w:color="auto" w:fill="FFFF00"/>
        </w:rPr>
        <w:t>___</w:t>
      </w:r>
      <w:r w:rsidR="00B6603F">
        <w:rPr>
          <w:sz w:val="24"/>
        </w:rPr>
        <w:t>letníků</w:t>
      </w:r>
      <w:r w:rsidR="00F04ECE">
        <w:rPr>
          <w:sz w:val="24"/>
        </w:rPr>
        <w:t>.</w:t>
      </w:r>
      <w:r w:rsidR="00D928EF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5B6F655A" w14:textId="77777777" w:rsidR="00E651BC" w:rsidRDefault="00E651BC" w:rsidP="00E651BC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05B9C30F" w14:textId="77777777" w:rsidR="00A758AA" w:rsidRDefault="00A758AA" w:rsidP="0074462E">
      <w:pPr>
        <w:pStyle w:val="kol-zadn"/>
        <w:ind w:left="288" w:right="-153" w:hanging="4"/>
      </w:pPr>
    </w:p>
    <w:p w14:paraId="5382B622" w14:textId="0C0DBA89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7BBD4336" w14:textId="4CB897B2" w:rsidR="00F04ECE" w:rsidRDefault="00F04ECE" w:rsidP="00F04ECE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roce 1918 se zásadně proměnily hranice ve střední a jihovýchodní Evropě. Předválečné velké říše se rozpadly na řadu nových, tzv. nástupnických států. Při vzniku nových států se tu a tam projevily rozpory mezi nimi. Takovým případem je i historické Těšínsko, které bylo tradičně osídleno Čechy i Poláky, nezanedbatelnou menšinu tvořili Němci. Podle původní domluvy měla hranice mezi oběma státy kopírovat hranici jazykovou. Mezivládní jednání ovšem dlouho k výsledku nevedla, spory nevyřešila ani mírová konference v Paříži, zástupci české vlády měli úplně jiné představy, než jaké prosazovali Poláci. K tomu musíme připočítat ještě zájmy německy mluvícího obyvatelstva. Těšínský region se stal místem diplomatického neklidu, který trval až do doby po druhé světové válce.</w:t>
      </w:r>
    </w:p>
    <w:p w14:paraId="26C85D5D" w14:textId="33276235" w:rsidR="00F04ECE" w:rsidRDefault="00F04ECE" w:rsidP="00F04ECE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Československá část Těšínska, které bylo vysoce průmyslovým regionem, se po druhé světové válce proměnila jazykově. Za vysídlené Němce přišli hlavně Slováci a Romové. Postupně došlo k mísení místní mluvy v libovolné kombinaci s výrazy a jazykovými prvky z češtiny, polštiny i slovenštiny. Z Ostravy se stalo centrum celé oblasti, proměnila se další města – Karviná, Bohumín, vznikl Havířov. Jižní část regionu začala být vyhledávána turisty, Lysá hora se stala oblíbeným cílem výletníků.  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106D77"/>
    <w:rsid w:val="0011432B"/>
    <w:rsid w:val="00145BE7"/>
    <w:rsid w:val="00165D81"/>
    <w:rsid w:val="00193108"/>
    <w:rsid w:val="00194B7F"/>
    <w:rsid w:val="001E2A79"/>
    <w:rsid w:val="0020026C"/>
    <w:rsid w:val="00215D31"/>
    <w:rsid w:val="002230CF"/>
    <w:rsid w:val="00241D37"/>
    <w:rsid w:val="00245766"/>
    <w:rsid w:val="00257488"/>
    <w:rsid w:val="00263525"/>
    <w:rsid w:val="00271864"/>
    <w:rsid w:val="00286CC1"/>
    <w:rsid w:val="002C10F6"/>
    <w:rsid w:val="002D5A52"/>
    <w:rsid w:val="002E43B0"/>
    <w:rsid w:val="002E64A8"/>
    <w:rsid w:val="002F2EB6"/>
    <w:rsid w:val="00301E59"/>
    <w:rsid w:val="00302AC8"/>
    <w:rsid w:val="00306EA3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152A0"/>
    <w:rsid w:val="005774CC"/>
    <w:rsid w:val="00580E32"/>
    <w:rsid w:val="00587CEB"/>
    <w:rsid w:val="00594C00"/>
    <w:rsid w:val="00595755"/>
    <w:rsid w:val="005A1665"/>
    <w:rsid w:val="005B53A9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4625D"/>
    <w:rsid w:val="00754984"/>
    <w:rsid w:val="00762550"/>
    <w:rsid w:val="007650A1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47BFC"/>
    <w:rsid w:val="00867E80"/>
    <w:rsid w:val="00870C4B"/>
    <w:rsid w:val="008723C3"/>
    <w:rsid w:val="008824CF"/>
    <w:rsid w:val="008A1292"/>
    <w:rsid w:val="008B3122"/>
    <w:rsid w:val="008C5045"/>
    <w:rsid w:val="008F0378"/>
    <w:rsid w:val="008F3E83"/>
    <w:rsid w:val="009068D6"/>
    <w:rsid w:val="0093051A"/>
    <w:rsid w:val="009440F6"/>
    <w:rsid w:val="009507D2"/>
    <w:rsid w:val="00966325"/>
    <w:rsid w:val="009D05FB"/>
    <w:rsid w:val="009E5E19"/>
    <w:rsid w:val="00A758AA"/>
    <w:rsid w:val="00AD05C6"/>
    <w:rsid w:val="00AD1C92"/>
    <w:rsid w:val="00AD59E1"/>
    <w:rsid w:val="00AE2C5A"/>
    <w:rsid w:val="00B16A1A"/>
    <w:rsid w:val="00B255B8"/>
    <w:rsid w:val="00B26F80"/>
    <w:rsid w:val="00B33CF3"/>
    <w:rsid w:val="00B4640C"/>
    <w:rsid w:val="00B53E7A"/>
    <w:rsid w:val="00B6603F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CF1C5C"/>
    <w:rsid w:val="00CF4451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28EF"/>
    <w:rsid w:val="00D965CE"/>
    <w:rsid w:val="00DA7DC2"/>
    <w:rsid w:val="00DB4536"/>
    <w:rsid w:val="00DC5D9E"/>
    <w:rsid w:val="00DD3FFA"/>
    <w:rsid w:val="00DD6FC0"/>
    <w:rsid w:val="00DE57E9"/>
    <w:rsid w:val="00DF45C8"/>
    <w:rsid w:val="00E0332A"/>
    <w:rsid w:val="00E10B8F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04ECE"/>
    <w:rsid w:val="00F15F6B"/>
    <w:rsid w:val="00F2067A"/>
    <w:rsid w:val="00F279BD"/>
    <w:rsid w:val="00F3021A"/>
    <w:rsid w:val="00F74B36"/>
    <w:rsid w:val="00F84F36"/>
    <w:rsid w:val="00F868A4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70</cp:revision>
  <cp:lastPrinted>2023-11-23T20:44:00Z</cp:lastPrinted>
  <dcterms:created xsi:type="dcterms:W3CDTF">2021-08-03T09:29:00Z</dcterms:created>
  <dcterms:modified xsi:type="dcterms:W3CDTF">2023-12-19T18:06:00Z</dcterms:modified>
</cp:coreProperties>
</file>