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UNESCO v ČR / ЮНЕСКО в Чехії</w:t>
      </w:r>
    </w:p>
    <w:tbl>
      <w:tblPr>
        <w:tblStyle w:val="Table1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2">
            <w:pPr>
              <w:rPr>
                <w:b w:val="1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b w:val="1"/>
                  <w:color w:val="0000ff"/>
                  <w:u w:val="single"/>
                  <w:rtl w:val="0"/>
                </w:rPr>
                <w:t xml:space="preserve">Hmotné kulturní dědictví UNESCO v ČR</w:t>
              </w:r>
            </w:hyperlink>
            <w:sdt>
              <w:sdtPr>
                <w:tag w:val="goog_rdk_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 Відео: </w:t>
                </w:r>
              </w:sdtContent>
            </w:sdt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Матеріальна культурна спадщина ЮНЕСКО в Чехії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 České republice se v současné době nachází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14 památek UNESCO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Ty jsou vyznačené v následující mapě. K puntíkům v mapě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připište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názvy měst/míst, kde se tyto památky nacházejí.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Зараз у Чехії налічується 14 пам’яток ЮНЕСКО. Вони позначені на карті нижче. </w:t>
            </w: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Додайте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до крапок на карті назви міст/місць, де розташовані ці пам’ятники.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2790825</wp:posOffset>
                  </wp:positionH>
                  <wp:positionV relativeFrom="paragraph">
                    <wp:posOffset>136798</wp:posOffset>
                  </wp:positionV>
                  <wp:extent cx="3943350" cy="2656205"/>
                  <wp:effectExtent b="0" l="0" r="0" t="0"/>
                  <wp:wrapSquare wrapText="bothSides" distB="0" distT="0" distL="114300" distR="114300"/>
                  <wp:docPr id="9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3350" cy="265620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Brno /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Брно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Český Krumlov / Чеський Крумлов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Holašovice / Голашовіце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Kladruby nad Labem / Кладруби над Лабем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Kroměříž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/ Кромержиж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Krušnohoří /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Рудні гори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Kutná Hora / Кутна Гора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Lednice, Valtice /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Ледніце, Валтіце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Litomyšl /  Л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і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томишль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Olomouc / Оломоуц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Praha / Прага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Telč / Те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лч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Třebíč / Требіч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Žďár nad Sázavou /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Ждя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 над Сазавою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alibri" w:cs="Calibri" w:eastAsia="Calibri" w:hAnsi="Calibri"/>
                <w:i w:val="1"/>
                <w:color w:val="0000f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       Zdroj mapy: webové stránky České dědictví UNESCO,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u w:val="single"/>
                  <w:rtl w:val="0"/>
                </w:rPr>
                <w:t xml:space="preserve">https://www.unesco-czech.cz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 tabulky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doplňte města/místa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z úkolu 1) podle toho, co je v daném místě předmětem ochrany a kdy bylo místo na seznam zařazeno: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Додайте міста/місця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із завдання 1) до таблиці відповідно до того, що є об’єктом охорони у даному місці та коли місце було включено до списку: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0200.0" w:type="dxa"/>
              <w:jc w:val="left"/>
              <w:tblBorders>
                <w:top w:color="000000" w:space="0" w:sz="4" w:val="single"/>
                <w:left w:color="000000" w:space="0" w:sz="4" w:val="single"/>
                <w:bottom w:color="000000" w:space="0" w:sz="4" w:val="single"/>
                <w:right w:color="000000" w:space="0" w:sz="4" w:val="single"/>
                <w:insideH w:color="000000" w:space="0" w:sz="4" w:val="single"/>
                <w:insideV w:color="000000" w:space="0" w:sz="4" w:val="single"/>
              </w:tblBorders>
              <w:tblLayout w:type="fixed"/>
              <w:tblLook w:val="0400"/>
            </w:tblPr>
            <w:tblGrid>
              <w:gridCol w:w="1125"/>
              <w:gridCol w:w="1725"/>
              <w:gridCol w:w="1260"/>
              <w:gridCol w:w="6090"/>
              <w:tblGridChange w:id="0">
                <w:tblGrid>
                  <w:gridCol w:w="1125"/>
                  <w:gridCol w:w="1725"/>
                  <w:gridCol w:w="1260"/>
                  <w:gridCol w:w="6090"/>
                </w:tblGrid>
              </w:tblGridChange>
            </w:tblGrid>
            <w:tr>
              <w:trPr>
                <w:cantSplit w:val="0"/>
                <w:trHeight w:val="270" w:hRule="atLeast"/>
                <w:tblHeader w:val="0"/>
              </w:trPr>
              <w:tc>
                <w:tcPr>
                  <w:shd w:fill="eeece1" w:val="clear"/>
                </w:tcPr>
                <w:p w:rsidR="00000000" w:rsidDel="00000000" w:rsidP="00000000" w:rsidRDefault="00000000" w:rsidRPr="00000000" w14:paraId="00000027">
                  <w:pPr>
                    <w:rPr>
                      <w:rFonts w:ascii="Calibri" w:cs="Calibri" w:eastAsia="Calibri" w:hAnsi="Calibri"/>
                      <w:b w:val="1"/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color w:val="ff0000"/>
                      <w:sz w:val="20"/>
                      <w:szCs w:val="20"/>
                      <w:rtl w:val="0"/>
                    </w:rPr>
                    <w:t xml:space="preserve">Město / místo</w:t>
                  </w:r>
                </w:p>
                <w:p w:rsidR="00000000" w:rsidDel="00000000" w:rsidP="00000000" w:rsidRDefault="00000000" w:rsidRPr="00000000" w14:paraId="00000028">
                  <w:pPr>
                    <w:rPr>
                      <w:rFonts w:ascii="Calibri" w:cs="Calibri" w:eastAsia="Calibri" w:hAnsi="Calibri"/>
                      <w:b w:val="1"/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9">
                  <w:pPr>
                    <w:rPr>
                      <w:rFonts w:ascii="Calibri" w:cs="Calibri" w:eastAsia="Calibri" w:hAnsi="Calibri"/>
                      <w:b w:val="1"/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A">
                  <w:pPr>
                    <w:rPr>
                      <w:rFonts w:ascii="Calibri" w:cs="Calibri" w:eastAsia="Calibri" w:hAnsi="Calibri"/>
                      <w:b w:val="1"/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color w:val="ff0000"/>
                      <w:rtl w:val="0"/>
                    </w:rPr>
                    <w:t xml:space="preserve">Місто /місце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eece1" w:val="clear"/>
                </w:tcPr>
                <w:p w:rsidR="00000000" w:rsidDel="00000000" w:rsidP="00000000" w:rsidRDefault="00000000" w:rsidRPr="00000000" w14:paraId="0000002B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Předmět ochrany</w:t>
                  </w:r>
                </w:p>
                <w:p w:rsidR="00000000" w:rsidDel="00000000" w:rsidP="00000000" w:rsidRDefault="00000000" w:rsidRPr="00000000" w14:paraId="0000002C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D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E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F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Об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'єкт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0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спадщини</w:t>
                  </w:r>
                </w:p>
              </w:tc>
              <w:tc>
                <w:tcPr>
                  <w:shd w:fill="eeece1" w:val="clear"/>
                </w:tcPr>
                <w:p w:rsidR="00000000" w:rsidDel="00000000" w:rsidP="00000000" w:rsidRDefault="00000000" w:rsidRPr="00000000" w14:paraId="00000031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Rok zápisu na Seznam UNESCO</w:t>
                  </w:r>
                </w:p>
                <w:p w:rsidR="00000000" w:rsidDel="00000000" w:rsidP="00000000" w:rsidRDefault="00000000" w:rsidRPr="00000000" w14:paraId="00000032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3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Рік внесення до списку ЮНЕСКО</w:t>
                  </w:r>
                </w:p>
                <w:p w:rsidR="00000000" w:rsidDel="00000000" w:rsidP="00000000" w:rsidRDefault="00000000" w:rsidRPr="00000000" w14:paraId="00000034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eece1" w:val="clear"/>
                </w:tcPr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Popis</w:t>
                  </w:r>
                </w:p>
                <w:p w:rsidR="00000000" w:rsidDel="00000000" w:rsidP="00000000" w:rsidRDefault="00000000" w:rsidRPr="00000000" w14:paraId="0000003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Опис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3A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B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Historické centrum</w:t>
                  </w:r>
                </w:p>
                <w:p w:rsidR="00000000" w:rsidDel="00000000" w:rsidP="00000000" w:rsidRDefault="00000000" w:rsidRPr="00000000" w14:paraId="0000003C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Історичний центр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E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1992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Město bylo na starších základech vystavěno po velkém požáru na konci 14. století.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Řada renesančních a barokních měšťanských domů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je dodnes sevřena obranným systémem rybníků.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Gotický hrad byl přestavěn v renesančním stylu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na konci 16. století.</w:t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Місто було побудоване на давніх фундаментах після великої пожежі в кінці 14 століття. Ряд міщанських будинків ренесансу та бароко й досі оточує оборонна система ставків. Готичний замок був перебудований до стилю ренесансу в кінці 16 століття.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1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2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Historické centrum</w:t>
                  </w:r>
                </w:p>
                <w:p w:rsidR="00000000" w:rsidDel="00000000" w:rsidP="00000000" w:rsidRDefault="00000000" w:rsidRPr="00000000" w14:paraId="00000043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Історичний центр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5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1992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Jednotlivé části hlavního města Čech, Malá Strana, Hradčany, Staré a Nové Město, byly budovány od 10. století. Kromě Pražského hradu s katedrálou sv. Víta nebo Karlova mostu zde bylo postaveno množství kostelů a paláců, které dohromady tvoří velkolepý celek architektonického, uměleckého i duchovního bohatství.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Vedle Pražské památkové rezervace seznam zahrnuje i  zámek a park v Průhonicích.</w:t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Окремі частини (райони) столиці Чехії -  Мала Страна, Градчани, Старе та Нове Місце, вибудовувались з 10 століття. Крім Празького Граду з собором Святого Віта, та Карлового моста, збудовано ряд церков і палаців, які разом утворюють чудовий ансамбль архітектурного, мистецького і духовного багатства. Окрім Празького заповідника, до списку також входять замок і парк Пругоніце.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49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A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Historické centrum</w:t>
                  </w:r>
                </w:p>
                <w:p w:rsidR="00000000" w:rsidDel="00000000" w:rsidP="00000000" w:rsidRDefault="00000000" w:rsidRPr="00000000" w14:paraId="0000004B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C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Історичний центр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D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1992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4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Hradní a zámecký komplex s unikátním barokním divadlem, meandr řeky Vltavy, erbovní znak s pětilistou růží, středověké uličky a kamenné měšťanské domy zde tvoří krásný celek.</w:t>
                  </w:r>
                </w:p>
                <w:p w:rsidR="00000000" w:rsidDel="00000000" w:rsidP="00000000" w:rsidRDefault="00000000" w:rsidRPr="00000000" w14:paraId="0000004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Замковий комплекс з унікальним театром у стилі бароко, меандром річки Влтави, гербом із п’ятипелюстковою трояндою, середньовічними алеями та кам’яними міщанськими будинками утворюють прекрасну цілісність.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1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2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Poutní kostel sv. Jana Nepomuckého na Zelené hoře</w:t>
                  </w:r>
                </w:p>
                <w:p w:rsidR="00000000" w:rsidDel="00000000" w:rsidP="00000000" w:rsidRDefault="00000000" w:rsidRPr="00000000" w14:paraId="00000053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4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Паломницька церква св. Яна Непомуцького на Зеленій Горі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5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1994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Poutní kostel zasvěcený sv. Janu Nepomuckému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byl postaven na začátku 20. let 18. století. Je vrcholným dílem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architekta Jana Blažeje Santiniho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a nejoriginálnějším příkladem tak zvané barokní gotiky. Je postaven ve tvaru pěticípé hvězdy a obklopen hřbitovem a ambitem.</w:t>
                  </w:r>
                </w:p>
                <w:p w:rsidR="00000000" w:rsidDel="00000000" w:rsidP="00000000" w:rsidRDefault="00000000" w:rsidRPr="00000000" w14:paraId="0000005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Паломницька церква, присвячена св. Яну Непомуцькому, була побудована на початку 1920 років. Це шедевр архітектора Яна Блажея Сантіні та найоригінальніший зразок так званої барокової готики. Церква була створена у формі п’ятикутної зірки, оточеної цвинтарем і монастирем.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59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A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Historické jádro města s chrámem sv. Barbory a katedrálou Nanebevzetí Panny Marie v Sedlci</w:t>
                  </w:r>
                </w:p>
                <w:p w:rsidR="00000000" w:rsidDel="00000000" w:rsidP="00000000" w:rsidRDefault="00000000" w:rsidRPr="00000000" w14:paraId="0000005B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5C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Історичний центр міста з церквою св. Барбари та собор Успіння Діви Марії в Седлеці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D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1995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5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Již od konce 13. století je historie města nerozlučně spjata s dolováním stříbrných rud. Historické jádro představuje architektonický skvost evropského významu. Pozdně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gotický chrám sv. Barbory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a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katedrála Nanebevzetí Panny Marie v Sedlci přestavěná v duchu barokní gotiky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tvoří pomyslné vstupní brány do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královského horního města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З кінця 13 століття історія міста нерозривно пов’язана з видобутком срібної руди. Історичне ядро ​​є архітектурною перлиною європейського значення. Пізньоготичний костел св. Барбари та собор Успіння Діви Марії в Седлеці, перебудований у стилі бароко, утворюють уявні вхідні ворота до королівського верхнього міста.</w:t>
                  </w:r>
                </w:p>
              </w:tc>
            </w:tr>
            <w:tr>
              <w:trPr>
                <w:cantSplit w:val="0"/>
                <w:trHeight w:val="293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1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2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Lednicko-valtický areál</w:t>
                  </w:r>
                </w:p>
                <w:p w:rsidR="00000000" w:rsidDel="00000000" w:rsidP="00000000" w:rsidRDefault="00000000" w:rsidRPr="00000000" w14:paraId="00000063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4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Ледніцко-Валтіцький ареал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5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1996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Knížata z Lichtenštejnu proměnila svá panství mezi 17. a 20. stoletím v jeden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velký park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kde se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barokní a novogotická architektura zámků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setkává s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drobnými stavbami v romantickém duchu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a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 krajinou upravenou podle principů anglického krajinářství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У період з 17 по 20 століття князі Ліхтенштейну перетворили свої маєтки на великий парк, де барокова та неоготична архітектура замків поєднується з невеликими будівлями в романтичному дусі та ландшафтом, адаптованим до принципів англійського ландшафтного дизайну.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69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A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Vesnická rezervace</w:t>
                  </w:r>
                </w:p>
                <w:p w:rsidR="00000000" w:rsidDel="00000000" w:rsidP="00000000" w:rsidRDefault="00000000" w:rsidRPr="00000000" w14:paraId="0000006B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C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Сільська резервація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D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1998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Tato vesnice je výjimečně dobře zachovaným příkladem tradiční středoevropské vesnice. Na středověkém půdorysu se tu dochovalo množství kvalitních venkovských staveb z 18. a 19. století ve stylu známém jako „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jihočeské selské baroko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“.</w:t>
                  </w:r>
                </w:p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Це село є надзвичайно добре збереженим прикладом традиційного центральноєвропейського села. На середньовічному закресленому плані збереглися якісні сільські будівлі 18-19 століть у стилі, відомому як «південночеське селянське бароко».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1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2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Zámek a zahrady</w:t>
                  </w:r>
                </w:p>
                <w:p w:rsidR="00000000" w:rsidDel="00000000" w:rsidP="00000000" w:rsidRDefault="00000000" w:rsidRPr="00000000" w14:paraId="00000073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4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Замок і сади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5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1998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Zámek stavěný na starších základech v 17. století představuje výjimečně zachovaný příklad středoevropského barokního sídla vysoké šlechty a s ním souvisejících zahrad: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Podzámecká zahrada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v přírodně krajinářské úpravě anglického typu a raně barokní libosad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Květná zahrada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Замок, побудований на давніх фундаментах у 17 столітті, є надзвичайно добре збереженим зразком центральноєвропейської барокової резиденції вищої знаті та пов’язаних із нею садів: Підзамецький сад в англійському природному ландшафті та Квітучий сад.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79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A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Zámek a zámecký areál</w:t>
                  </w:r>
                </w:p>
                <w:p w:rsidR="00000000" w:rsidDel="00000000" w:rsidP="00000000" w:rsidRDefault="00000000" w:rsidRPr="00000000" w14:paraId="0000007B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C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Замок і замецький ареал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D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1999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Renesanční zámek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z druhé poloviny 16. století je významným dokladem arkádového zámku vycházejícího z italských podnětů. Přes úpravy interiérů především na konci 18. století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si zachoval téměř nedotčený vzhled z dob renesance včetně unikátní sgrafitové výzdoby fasád a štítů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. Dochována je řada hospodářských budov a zahrada.</w:t>
                  </w:r>
                </w:p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Ренесансний замок другої половини 16 століття є важливим прикладом аркадного замку із натхненням Італії. Незважаючи на внутрішні перебудови, особливо наприкінці XVIII століття, він зберіг свій майже неушкоджений ренесансний вигляд, зокрема унікальне оздоблення фасадів і фронтонів сграфіто. Збереглися також господарські будівлі та сад.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1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2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Sloup nejsvětější trojice</w:t>
                  </w:r>
                </w:p>
                <w:p w:rsidR="00000000" w:rsidDel="00000000" w:rsidP="00000000" w:rsidRDefault="00000000" w:rsidRPr="00000000" w14:paraId="00000083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4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Колона Святої Трійці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5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2000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Pamětní sloup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vztyčený v prvních letech 18. století, je výjimečným příkladem památky typické pro střední Evropu. Dosahuje výšky 35 m a je vyzdoben množstvím soch vynikajícího moravského umělce Ondřeje Zahnera.</w:t>
                  </w:r>
                </w:p>
                <w:p w:rsidR="00000000" w:rsidDel="00000000" w:rsidP="00000000" w:rsidRDefault="00000000" w:rsidRPr="00000000" w14:paraId="0000008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Меморіальна колона, споруджена в перші роки 18 століття, є винятковим зразком типового для Центральної Європи пам'ятника. Він досягає висоти 35 м і прикрашений низкою скульптур видатного моравського художника Ондрея Занера.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89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A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Vila Tugendhat</w:t>
                  </w:r>
                </w:p>
                <w:p w:rsidR="00000000" w:rsidDel="00000000" w:rsidP="00000000" w:rsidRDefault="00000000" w:rsidRPr="00000000" w14:paraId="0000008B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C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Вілла Тугендхат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D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2002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8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Vila Tugendhat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postavená v letech 1929</w:t>
                  </w:r>
                  <w:r w:rsidDel="00000000" w:rsidR="00000000" w:rsidRPr="00000000">
                    <w:rPr>
                      <w:rFonts w:ascii="Source Sans Pro" w:cs="Source Sans Pro" w:eastAsia="Source Sans Pro" w:hAnsi="Source Sans Pro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–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1930, představuje jedno z nejvýznamnějších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funkcionalistických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děl evropské periody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architekta Ludwiga Miese van der Rohe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. Použití ocelového skeletu bez nosných zdí umožnilo architektovi vytvořit nový, neformální koncept otevřeného variabilního prostoru spojeného s přírodním prostředím.</w:t>
                  </w:r>
                </w:p>
                <w:p w:rsidR="00000000" w:rsidDel="00000000" w:rsidP="00000000" w:rsidRDefault="00000000" w:rsidRPr="00000000" w14:paraId="0000008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Вілла Тугендхат, побудована  у 1929-1930 роках, є однією з найважливіших функціоналістських робіт європейського періоду архітектора Людвіга Міса ван дер Рое. Використання сталевого каркаса без несучих стін дозволило архітектору створити нову, неформальну концепцію відкритого змінного простору, пов’язаного з природним середовищем.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91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2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Židovská čtvrť a bazilika sv. Prokopa</w:t>
                  </w:r>
                </w:p>
                <w:p w:rsidR="00000000" w:rsidDel="00000000" w:rsidP="00000000" w:rsidRDefault="00000000" w:rsidRPr="00000000" w14:paraId="00000093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4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Єврейський квартал і базиліка св. Прокопа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5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2003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Soubor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židovské čtvrti a baziliky je unikátním příkladem blízkého soužití křesťanské a židovské kultury od středověku až do 20. století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. Bazilika sv. Prokopa, původně část benediktinského kláštera z 13. století, byla při výstavbě ovlivněna vzory a vlivy přicházejícími ze západní Evropy.</w:t>
                  </w:r>
                </w:p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Ансамбль Єврейського кварталу та базиліки являється унікальним прикладом тісного співіснування християнської та єврейської культури від Середньовіччя до XX століття. Базиліка св. Прокоп, яка спочатку була частиною бенедиктинського монастиря з 13 століття, під час його будівництва зазнала впливу із Західної Європи.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99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A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Krajina pro chov koní</w:t>
                  </w:r>
                </w:p>
                <w:p w:rsidR="00000000" w:rsidDel="00000000" w:rsidP="00000000" w:rsidRDefault="00000000" w:rsidRPr="00000000" w14:paraId="0000009B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C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Країна конярства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D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2019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Kulturní krajina zahrnuje nejen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hřebčín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ale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okolní pastviny včetně uměle zbudovaných vodních kanálů a přímých komunikací lemovanými alejemi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. Krajina je vynikajícím spojením díla přírody a člověka v zachovalé předindustriální podobě a reprezentuje významný fenomén lidské civilizace, kterým byl po staletí specializovaný chov ceremoniálních, reprezentativních koní.</w:t>
                  </w:r>
                </w:p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Культурний ландшафт включає не тільки конезавод, а й навколишні пасовища, у тому числі штучно побудовані водні канали та прямі дороги, висаджені алеями. Ландшафт є чудовим поєднанням праці природи і людини в збереженому доіндустріальному вигляді і являє собою важливий феномен людської цивілізації, яка протягом століть була спеціалізованим розведенням виставкових  коней для церемоніальних цілей.</w:t>
                  </w:r>
                </w:p>
              </w:tc>
            </w:tr>
            <w:tr>
              <w:trPr>
                <w:cantSplit w:val="0"/>
                <w:trHeight w:val="270" w:hRule="atLeast"/>
                <w:tblHeader w:val="0"/>
              </w:trPr>
              <w:tc>
                <w:tcPr>
                  <w:vAlign w:val="center"/>
                </w:tcPr>
                <w:p w:rsidR="00000000" w:rsidDel="00000000" w:rsidP="00000000" w:rsidRDefault="00000000" w:rsidRPr="00000000" w14:paraId="000000A1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2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Hornický region</w:t>
                  </w:r>
                </w:p>
                <w:p w:rsidR="00000000" w:rsidDel="00000000" w:rsidP="00000000" w:rsidRDefault="00000000" w:rsidRPr="00000000" w14:paraId="000000A3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4">
                  <w:pPr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Гірничий район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5">
                  <w:pPr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2019</w:t>
                  </w:r>
                </w:p>
              </w:tc>
              <w:tc>
                <w:tcPr>
                  <w:vAlign w:val="center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Díky více než 800 letům téměř soustavné těžby a zpracování rud zde vznikla jedinečná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hornická krajina s unikátními montánními památkami v nadzemí i podzemí a s hustou sítí horních měst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. Dokládá obrovský vliv, který měla těžba a zpracování rud na rozvoj hornictví a hutnictví po celém světě. V tomto případě jde o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přeshraniční památku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, její 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součástí je i území Erzgebirge v něměckém Sasku</w:t>
                  </w: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. Na české straně se jedná o hornické krajiny Jáchymov, Abertamy–Boží Dar–Horní Blatná, Krupka, Mědník a Rudou věž smrti.</w:t>
                  </w:r>
                </w:p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both"/>
                    <w:rPr>
                      <w:rFonts w:ascii="Calibri" w:cs="Calibri" w:eastAsia="Calibri" w:hAnsi="Calibri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sz w:val="20"/>
                      <w:szCs w:val="20"/>
                      <w:rtl w:val="0"/>
                    </w:rPr>
                    <w:t xml:space="preserve">Завдяки більш ніж 800-річному майже безперервному видобутку та переробці руди тут створено унікальний гірничий ландшафт з унікальними гірськими пам’ятками над і під землею та з густою мережею верхніх міст. Це демонструє величезний вплив на розвиток гірничодобувної промисловості та металургії у всьому світі. У даному випадку це транскордонний пам’ятник, до нього також входить Ерцгебірге в Саксонії (Німеччина). З чеської сторони це шахтарські краєвиди Яхимова, Абертами – Божи Дар – Горні Блатна, Крупка, Меднік і Червона вежа смерті.</w:t>
                  </w:r>
                </w:p>
              </w:tc>
            </w:tr>
          </w:tbl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ind w:left="360" w:firstLine="0"/>
              <w:rPr>
                <w:rFonts w:ascii="Calibri" w:cs="Calibri" w:eastAsia="Calibri" w:hAnsi="Calibri"/>
                <w:i w:val="1"/>
                <w:color w:val="0000ff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Zdroj textu: webové stránky České dědictví UNESCO (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u w:val="single"/>
                  <w:rtl w:val="0"/>
                </w:rPr>
                <w:t xml:space="preserve">https://www.unesco-czech.cz/unesco-pamatky/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u w:val="single"/>
                <w:rtl w:val="0"/>
              </w:rPr>
              <w:t xml:space="preserve">)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0000ff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 webové stránky Ministerstva kultury (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i w:val="1"/>
                  <w:color w:val="0000ff"/>
                  <w:u w:val="single"/>
                  <w:rtl w:val="0"/>
                </w:rPr>
                <w:t xml:space="preserve">https://www.mkcr.cz/pamatky-unesco-263.html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>
          <w:rFonts w:ascii="Calibri" w:cs="Calibri" w:eastAsia="Calibri" w:hAnsi="Calibri"/>
          <w:color w:val="444444"/>
          <w:sz w:val="21"/>
          <w:szCs w:val="21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color w:val="444444"/>
          <w:sz w:val="21"/>
          <w:szCs w:val="21"/>
          <w:highlight w:val="white"/>
          <w:rtl w:val="0"/>
        </w:rPr>
        <w:t xml:space="preserve">Autor: Veronika Kopřivová</w:t>
      </w:r>
    </w:p>
    <w:sectPr>
      <w:headerReference r:id="rId13" w:type="default"/>
      <w:pgSz w:h="16838" w:w="11906" w:orient="portrait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Source Sans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b="0" l="0" r="0" t="0"/>
          <wp:wrapSquare wrapText="bothSides" distB="114300" distT="11430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3"/>
      <w:tblW w:w="9915.0" w:type="dxa"/>
      <w:jc w:val="left"/>
      <w:tblInd w:w="-90.0" w:type="dxa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095"/>
      <w:gridCol w:w="2820"/>
      <w:tblGridChange w:id="0">
        <w:tblGrid>
          <w:gridCol w:w="7095"/>
          <w:gridCol w:w="2820"/>
        </w:tblGrid>
      </w:tblGridChange>
    </w:tblGrid>
    <w:tr>
      <w:trPr>
        <w:cantSplit w:val="0"/>
        <w:trHeight w:val="180" w:hRule="atLeast"/>
        <w:tblHeader w:val="0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B1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UNESCO V ČR</w:t>
          </w:r>
        </w:p>
        <w:p w:rsidR="00000000" w:rsidDel="00000000" w:rsidP="00000000" w:rsidRDefault="00000000" w:rsidRPr="00000000" w14:paraId="000000B2">
          <w:pPr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Pracovní list k samostatné práci </w:t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B3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Jméno žáka:</w:t>
          </w:r>
        </w:p>
      </w:tc>
    </w:tr>
  </w:tbl>
  <w:p w:rsidR="00000000" w:rsidDel="00000000" w:rsidP="00000000" w:rsidRDefault="00000000" w:rsidRPr="00000000" w14:paraId="000000B4">
    <w:pPr>
      <w:tabs>
        <w:tab w:val="left" w:pos="720"/>
        <w:tab w:val="left" w:pos="1440"/>
        <w:tab w:val="left" w:pos="2160"/>
        <w:tab w:val="left" w:pos="9000"/>
      </w:tabs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-33333</wp:posOffset>
          </wp:positionH>
          <wp:positionV relativeFrom="page">
            <wp:posOffset>-174620</wp:posOffset>
          </wp:positionV>
          <wp:extent cx="7600950" cy="285750"/>
          <wp:effectExtent b="0" l="0" r="0" t="0"/>
          <wp:wrapSquare wrapText="bothSides" distB="114300" distT="114300" distL="114300" distR="114300"/>
          <wp:docPr id="10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b="0" l="0" r="0" t="0"/>
          <wp:wrapSquare wrapText="bothSides" distB="114300" distT="114300" distL="114300" distR="11430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odnadpis">
    <w:name w:val="Subtitle"/>
    <w:basedOn w:val="Normln"/>
    <w:next w:val="Normln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character" w:styleId="Hypertextovodkaz">
    <w:name w:val="Hyperlink"/>
    <w:basedOn w:val="Standardnpsmoodstavce"/>
    <w:uiPriority w:val="99"/>
    <w:unhideWhenUsed w:val="1"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 w:val="1"/>
    <w:rsid w:val="00F87B69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 w:val="1"/>
    <w:rsid w:val="00F87B69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 w:val="1"/>
    <w:rsid w:val="00AD5FFB"/>
    <w:pPr>
      <w:ind w:left="720"/>
      <w:contextualSpacing w:val="1"/>
    </w:pPr>
  </w:style>
  <w:style w:type="character" w:styleId="apple-converted-space" w:customStyle="1">
    <w:name w:val="apple-converted-space"/>
    <w:basedOn w:val="Standardnpsmoodstavce"/>
    <w:rsid w:val="00244715"/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5166CE"/>
    <w:rPr>
      <w:rFonts w:ascii="Tahoma" w:cs="Tahoma" w:hAnsi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5166CE"/>
    <w:rPr>
      <w:rFonts w:ascii="Tahoma" w:cs="Tahoma" w:hAnsi="Tahoma"/>
      <w:sz w:val="16"/>
      <w:szCs w:val="16"/>
    </w:rPr>
  </w:style>
  <w:style w:type="table" w:styleId="Mkatabulky">
    <w:name w:val="Table Grid"/>
    <w:basedOn w:val="Normlntabulka"/>
    <w:uiPriority w:val="59"/>
    <w:rsid w:val="00B63C77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unesco-czech.cz/unesco-pamatky/" TargetMode="External"/><Relationship Id="rId10" Type="http://schemas.openxmlformats.org/officeDocument/2006/relationships/hyperlink" Target="https://www.unesco-czech.cz" TargetMode="External"/><Relationship Id="rId13" Type="http://schemas.openxmlformats.org/officeDocument/2006/relationships/header" Target="header1.xml"/><Relationship Id="rId12" Type="http://schemas.openxmlformats.org/officeDocument/2006/relationships/hyperlink" Target="https://www.mkcr.cz/pamatky-unesco-263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ceskatelevize.cz/video/9320-hmotne-kulturni-dedictvi-unesco-v-cr" TargetMode="External"/><Relationship Id="rId8" Type="http://schemas.openxmlformats.org/officeDocument/2006/relationships/hyperlink" Target="https://edu.ceskatelevize.cz/video/9320-hmotne-kulturni-dedictvi-unesco-v-c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SemiBold-regular.ttf"/><Relationship Id="rId2" Type="http://schemas.openxmlformats.org/officeDocument/2006/relationships/font" Target="fonts/SourceSansProSemiBold-bold.ttf"/><Relationship Id="rId3" Type="http://schemas.openxmlformats.org/officeDocument/2006/relationships/font" Target="fonts/SourceSansProSemiBold-italic.ttf"/><Relationship Id="rId4" Type="http://schemas.openxmlformats.org/officeDocument/2006/relationships/font" Target="fonts/SourceSansProSemiBold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F2fhYPJA7xbbHjEZDC1FVZaJkA==">AMUW2mUftjpDP4BQ9sqcO7JRCLn2Bhj96atOs5R5GYP9gqKJ+/Ogxj4ClLUZLAQ0zQlMt1qFW4eEYQ12XZu0MVH8oThWqoGs3GBvXj9qpMWJDodwJientHRDP4v1LP5V4vh+eYdQObuZElLL5zQAo0Pgm4qds0IdWQ==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2021-03-17T16:58:00Z</dcterms:created>
  <dc:creator>petr_kopriva</dc:creator>
</cp:coreProperties>
</file>