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sz w:val="44"/>
          <w:szCs w:val="44"/>
        </w:rPr>
      </w:pPr>
      <w:bookmarkStart w:colFirst="0" w:colLast="0" w:name="_heading=h.mcprmcjxxdd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pgSz w:h="16838" w:w="11906" w:orient="portrait"/>
          <w:pgMar w:bottom="720" w:top="720" w:left="720" w:right="849" w:header="708" w:footer="708"/>
          <w:pgNumType w:start="1"/>
          <w:titlePg w:val="1"/>
        </w:sectPr>
      </w:pPr>
      <w:bookmarkStart w:colFirst="0" w:colLast="0" w:name="_heading=h.tj0o6ks8tun7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Klimatická změna: začarované kruhy tajícího ledu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Podobně jako větev snese určité zatížení, než se zlomí, i některé části planetárního systému se mohou při postupujících klimatických změnách „zlomit“ a přejít do kvalitativně odlišného stavu. Podívej se zblízka na některé ledovcové a kryogenní ekosystémy. K práci budeš potřebovat vizualizaci „PROČ JE OTEPLENÍ O VÍCE NEŽ 1,5 °C PROBLÉM? [2/3] – BODY ZLOMU KRYOSFÉRA“ (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https://faktaoklimatu.cz/infografiky/body-zlomu-2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z webu faktaoklimatu.cz, kterému děkujeme za poskytnutí vizualizace i textových podkladů.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f22ea2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Tání na Sibiři: Měnící se klima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>
          <w:rFonts w:ascii="Arial" w:cs="Arial" w:eastAsia="Arial" w:hAnsi="Arial"/>
          <w:b w:val="1"/>
          <w:color w:val="f22ea2"/>
          <w:sz w:val="32"/>
          <w:szCs w:val="32"/>
          <w:u w:val="single"/>
        </w:rPr>
      </w:pPr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f22ea2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Rekordně malé množství ledu v Antarktidě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>
          <w:sz w:val="22"/>
          <w:szCs w:val="22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Nejdříve s pomocí vhodných zdrojů vysvětli pojmy níže.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Kryosféra: 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Permafrost: 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>
          <w:rFonts w:ascii="Arial" w:cs="Arial" w:eastAsia="Arial" w:hAnsi="Arial"/>
          <w:b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Najdi na mapě: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Antarktid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Arktid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Grónsko, Severní ledový oceán, Sibiř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>
          <w:sz w:val="22"/>
          <w:szCs w:val="22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 s vizualizací a odpověz na otázky.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Bílé tričko ve vedru odráží sluneční paprsky efektivněji než tmavé oblečení. Jak tato charakteristika světlých povrchů souvisí s táním Severního ledového oceánu?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Jakou mocnost má v současnosti grónský ledovcový příkrov v kilometrech?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kolik metrů by se zvýšila hladina světového oceánu, kdyby grónský ledovcový příkrov zcela roztál?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Tání permafrostu může uvolnit obrovské objemy jednoho ze skleníkových plynů. O který plyn se jedná?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může roztání většiny horských ledovců souviset s obživou lidí žijících v nížinách pod nimi?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14" w:right="403" w:hanging="357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Některé důsledky globálního oteplování se samy stávají příčinami dalšího oteplování a dále jej prohlubují. Ekosystémy se tak dostávají do začarovaného kruhu příčin a následků,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14" w:right="403" w:hanging="357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kvůli nimž teploty rostou rychleji. Využij informací z vizualizace a doplň jednotlivé faktory do dvou různých schémat tak, aby cykly příčin a následků vytvořily dva „začarované kruhy“ – jeden o tání arktického ledu a druhý o tání permafrostu.</w:t>
      </w:r>
    </w:p>
    <w:p w:rsidR="00000000" w:rsidDel="00000000" w:rsidP="00000000" w:rsidRDefault="00000000" w:rsidRPr="00000000" w14:paraId="00000014">
      <w:pPr>
        <w:ind w:left="720" w:firstLine="0"/>
        <w:rPr>
          <w:color w:val="5b9bd5"/>
        </w:rPr>
      </w:pPr>
      <w:r w:rsidDel="00000000" w:rsidR="00000000" w:rsidRPr="00000000">
        <w:rPr>
          <w:color w:val="5b9bd5"/>
          <w:rtl w:val="0"/>
        </w:rPr>
        <w:t xml:space="preserve">taje světlý arktický led – posiluje se skleníkový efekt (2x) – taje permafrost – uvolňuje se metan – tmavý oceán pohlcuje více energie</w:t>
      </w:r>
    </w:p>
    <w:p w:rsidR="00000000" w:rsidDel="00000000" w:rsidP="00000000" w:rsidRDefault="00000000" w:rsidRPr="00000000" w14:paraId="00000015">
      <w:pPr>
        <w:rPr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24200" cy="2720340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720340"/>
                          <a:chOff x="0" y="0"/>
                          <a:chExt cx="3124200" cy="272605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124200" cy="2720325"/>
                            <a:chOff x="0" y="0"/>
                            <a:chExt cx="3124200" cy="2720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24200" cy="2720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076231" y="0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1107065" y="30834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teplota atmosféry se zvyšuje</w:t>
                                </w: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518116" y="315581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95666" y="11751"/>
                                  </a:moveTo>
                                  <a:lnTo>
                                    <a:pt x="95666" y="11751"/>
                                  </a:lnTo>
                                  <a:cubicBezTo>
                                    <a:pt x="103353" y="17433"/>
                                    <a:pt x="109571" y="24870"/>
                                    <a:pt x="113802" y="33441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119935" y="1044355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1" name="Shape 21"/>
                          <wps:spPr>
                            <a:xfrm>
                              <a:off x="2150769" y="1075189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18396" y="316466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3781" y="86601"/>
                                  </a:moveTo>
                                  <a:lnTo>
                                    <a:pt x="113781" y="86601"/>
                                  </a:lnTo>
                                  <a:cubicBezTo>
                                    <a:pt x="109546" y="95162"/>
                                    <a:pt x="103329" y="102589"/>
                                    <a:pt x="95646" y="108264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076231" y="2088059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4" name="Shape 24"/>
                          <wps:spPr>
                            <a:xfrm>
                              <a:off x="1107065" y="2118893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9050" lIns="99050" spcFirstLastPara="1" rIns="99050" wrap="square" tIns="9905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518396" y="316466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354" y="108264"/>
                                  </a:moveTo>
                                  <a:lnTo>
                                    <a:pt x="24354" y="108264"/>
                                  </a:lnTo>
                                  <a:cubicBezTo>
                                    <a:pt x="16671" y="102590"/>
                                    <a:pt x="10454" y="95163"/>
                                    <a:pt x="6219" y="86601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2528" y="1044355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7" name="Shape 27"/>
                          <wps:spPr>
                            <a:xfrm>
                              <a:off x="63362" y="1075189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9050" lIns="99050" spcFirstLastPara="1" rIns="99050" wrap="square" tIns="9905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518677" y="315581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198" y="33441"/>
                                  </a:moveTo>
                                  <a:cubicBezTo>
                                    <a:pt x="10429" y="24870"/>
                                    <a:pt x="16647" y="17433"/>
                                    <a:pt x="24334" y="11751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24200" cy="2720340"/>
                <wp:effectExtent b="0" l="0" r="0" t="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27203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24200" cy="2720340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720340"/>
                          <a:chOff x="0" y="0"/>
                          <a:chExt cx="3124200" cy="272605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124200" cy="2720325"/>
                            <a:chOff x="0" y="0"/>
                            <a:chExt cx="3124200" cy="2720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24200" cy="2720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076231" y="0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1107065" y="30834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teplota atmosféry se zvyšuje</w:t>
                                </w: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18116" y="315581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95666" y="11751"/>
                                  </a:moveTo>
                                  <a:lnTo>
                                    <a:pt x="95666" y="11751"/>
                                  </a:lnTo>
                                  <a:cubicBezTo>
                                    <a:pt x="103353" y="17433"/>
                                    <a:pt x="109571" y="24870"/>
                                    <a:pt x="113802" y="33441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119935" y="1044355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2150769" y="1075189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1900" lIns="41900" spcFirstLastPara="1" rIns="41900" wrap="square" tIns="419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18396" y="316466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3781" y="86601"/>
                                  </a:moveTo>
                                  <a:lnTo>
                                    <a:pt x="113781" y="86601"/>
                                  </a:lnTo>
                                  <a:cubicBezTo>
                                    <a:pt x="109546" y="95162"/>
                                    <a:pt x="103329" y="102589"/>
                                    <a:pt x="95646" y="108264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76231" y="2088059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1107065" y="2118893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9050" lIns="99050" spcFirstLastPara="1" rIns="99050" wrap="square" tIns="9905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18396" y="316466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354" y="108264"/>
                                  </a:moveTo>
                                  <a:lnTo>
                                    <a:pt x="24354" y="108264"/>
                                  </a:lnTo>
                                  <a:cubicBezTo>
                                    <a:pt x="16671" y="102590"/>
                                    <a:pt x="10454" y="95163"/>
                                    <a:pt x="6219" y="86601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2528" y="1044355"/>
                              <a:ext cx="971736" cy="63162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63362" y="1075189"/>
                              <a:ext cx="910068" cy="56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9050" lIns="99050" spcFirstLastPara="1" rIns="99050" wrap="square" tIns="9905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18677" y="315581"/>
                              <a:ext cx="2087406" cy="2087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198" y="33441"/>
                                  </a:moveTo>
                                  <a:cubicBezTo>
                                    <a:pt x="10429" y="24870"/>
                                    <a:pt x="16647" y="17433"/>
                                    <a:pt x="24334" y="11751"/>
                                  </a:cubicBez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24200" cy="2720340"/>
                <wp:effectExtent b="0" l="0" r="0" 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27203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Co jsem se touto aktivitou naučil(a):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-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1503045</wp:posOffset>
                </wp:positionV>
                <wp:extent cx="6884670" cy="1075690"/>
                <wp:effectExtent b="0" l="0" r="0" t="0"/>
                <wp:wrapSquare wrapText="bothSides" distB="45720" distT="4572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1908428" y="3246918"/>
                          <a:ext cx="687514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Autor: Jan Vavřín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1503045</wp:posOffset>
                </wp:positionV>
                <wp:extent cx="6884670" cy="1075690"/>
                <wp:effectExtent b="0" l="0" r="0" t="0"/>
                <wp:wrapSquare wrapText="bothSides" distB="45720" distT="45720" distL="114300" distR="11430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1075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8" w:w="11906" w:orient="portrait"/>
      <w:pgMar w:bottom="720" w:top="720" w:left="720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rPr>
      <w:rFonts w:ascii="Arial" w:cs="Arial" w:eastAsia="Arial" w:hAnsi="Arial"/>
      <w:b w:val="1"/>
      <w:bCs w:val="1"/>
      <w:u w:val="single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rPr>
      <w:rFonts w:ascii="Arial" w:cs="Arial" w:eastAsia="Arial" w:hAnsi="Arial"/>
      <w:b w:val="1"/>
      <w:bCs w:val="1"/>
      <w:sz w:val="44"/>
      <w:szCs w:val="44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ind w:right="968"/>
    </w:pPr>
    <w:rPr>
      <w:rFonts w:ascii="Arial" w:cs="Arial" w:eastAsia="Arial" w:hAnsi="Arial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/>
      <w:ind w:right="131"/>
      <w:jc w:val="both"/>
      <w:outlineLvl w:val="0"/>
    </w:pPr>
    <w:rPr>
      <w:rFonts w:ascii="Arial" w:cs="Arial" w:eastAsia="Arial" w:hAnsi="Arial"/>
      <w:sz w:val="28"/>
      <w:szCs w:val="32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line="480" w:lineRule="auto"/>
      <w:ind w:left="284" w:right="260"/>
      <w:jc w:val="both"/>
    </w:pPr>
    <w:rPr>
      <w:rFonts w:ascii="Arial" w:cs="Arial" w:eastAsia="Arial" w:hAnsi="Arial"/>
      <w:color w:val="33bef2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line="240" w:lineRule="auto"/>
      <w:ind w:left="1068" w:right="401"/>
    </w:pPr>
    <w:rPr>
      <w:rFonts w:ascii="Arial" w:cs="Arial" w:eastAsia="Arial" w:hAnsi="Arial"/>
      <w:b w:val="1"/>
      <w:noProof w:val="1"/>
      <w:sz w:val="24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after="0" w:before="240"/>
      <w:jc w:val="center"/>
    </w:pPr>
    <w:rPr>
      <w:rFonts w:ascii="Arial" w:cs="Arial" w:eastAsia="Arial" w:hAnsi="Arial"/>
      <w:b w:val="1"/>
      <w:bCs w:val="1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/>
      <w:jc w:val="center"/>
    </w:pPr>
    <w:rPr>
      <w:rFonts w:ascii="Arial" w:cs="Arial" w:eastAsia="Arial" w:hAnsi="Arial"/>
      <w:b w:val="1"/>
      <w:bCs w:val="1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 w:val="1"/>
    </w:p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Nadpis1Char" w:customStyle="1">
    <w:name w:val="Nadpis 1 Char"/>
    <w:basedOn w:val="Standardnpsmoodstavce"/>
    <w:link w:val="Nadpis1"/>
    <w:uiPriority w:val="9"/>
    <w:rsid w:val="00F9594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du.ceskatelevize.cz/video/1872-tani-na-sibiri-menici-se-klima" TargetMode="External"/><Relationship Id="rId10" Type="http://schemas.openxmlformats.org/officeDocument/2006/relationships/hyperlink" Target="https://faktaoklimatu.cz/infografiky/body-zlomu-2" TargetMode="External"/><Relationship Id="rId13" Type="http://schemas.openxmlformats.org/officeDocument/2006/relationships/image" Target="media/image4.png"/><Relationship Id="rId12" Type="http://schemas.openxmlformats.org/officeDocument/2006/relationships/hyperlink" Target="https://edu.ceskatelevize.cz/video/15034-rekordne-male-mnozstvi-ledu-v-antarktid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Wi8Y3FpMzdpZ9YqfNH+asACeA==">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2021-08-22T16:56:00Z</dcterms:created>
  <dc:creator>Jan Johanovský</dc:creator>
</cp:coreProperties>
</file>