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pgSz w:h="16838" w:w="11906" w:orient="portrait"/>
          <w:pgMar w:bottom="720" w:top="720" w:left="720" w:right="849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Klimatická změna: důkazy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bookmarkStart w:colFirst="0" w:colLast="0" w:name="_heading=h.pwhdvcw1y7mr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měří klimatická změna? Časový průběh koncentrací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kyslíku ukazuje roční cykly dýchání a fotosyntézy i dlouhodobé důsledky spalování fosilních paliv. K práci budeš potřebovat graf „CYKLY KONCENTRACÍ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 ATMOSFÉ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E“ (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https://faktaoklimatu.cz/infografiky/cykly-koncentrace-co2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 webu faktaoklimatu.cz, kterému děkujeme za poskytnutí grafu i textových podkladů. Navržené video je doporučenou, nikoliv nezbytnou součástí aktivity.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/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f22ea2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Přirozený skleníkový efekt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lze vyčíst z grafu? Najdi, zakroužkuj a oprav jedno nesprávné tvrzení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(nesprávné je poslední tvrzení)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Svislá osa grafu znázorňuje koncentrace daného plynu v atmosféře, vodorovná osa je časovou osou.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zeleně značené křivce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jsou patrné dva trendy. Jednak každoroční oscilace ovlivněná střídáním ročních období a </w:t>
      </w:r>
      <w:r w:rsidDel="00000000" w:rsidR="00000000" w:rsidRPr="00000000">
        <w:rPr>
          <w:rFonts w:ascii="Arial" w:cs="Arial" w:eastAsia="Arial" w:hAnsi="Arial"/>
          <w:rtl w:val="0"/>
        </w:rPr>
        <w:t xml:space="preserve">jednak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dlouhodobý růst tempem okolo 20 ppm za desetiletí.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Každoroční periodické výkyvy koncentrace obou plynů spojené se střídáním ročních období jsou přiblíženy ve vloženém okně.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vrcholí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každoročně od května do července. V těchto měsících je zeleň na vrcholu vegetačního období a převažuje fotosyntéza – rostliny odčerpávají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atmosféry a ukládají uhlík do svých kmenů a listů. Od října stromy shazují listy, které hnijí a uvolňují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zpátky.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Roční průběh křivky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první pohled odpovídá průběhu vegetačního období na severní polokouli, přestože data jsou platná globálně. Důvodem je fakt, že většina světových lesů se nachází na severní polokouli.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Průběhy koncentrací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jsou uvedeny v jednotkách ppm. Tato zkratka znamená parts per million, tedy počet částic v jednom milionu. Podobně jako procento (%), tedy per cent, znamená počet ve stovce a promile (‰) označuje počet v tisíci.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Dlouhodobý nárůst koncentrace oxidu uhličitého a pokles koncentrace kyslíku ukazují, že složení atmosféry se mění.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Modrá část grafu také ukazuje vývoj koncentrace kyslíku (O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konkrétně to, o kolik se v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daném roce změnila oproti referenčnímu roku 1991.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Také koncentrace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vlivem fotosyntézy a dýchání během roku mění, dlouhodobě však vlivem spalování fosilních paliv klesá asi o 40 ppm za desetiletí.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Koncentrace 400 ppm tedy znamená, že v jednom milionu molekul vzduchu je 400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molekul oxidu uhličitého, což odpovídá 0,04 ‰ nebo 0,004 %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(správně 0,4 ‰ nebo 0,04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%)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4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koncentrace plynů v atmosféře měří? Doplň do textu pojmy ve správném tvaru: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Havaj, klesat, les, San Francisco, stoupat, Tichý oceán, továrna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Přesnou metodu měření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 přesností 0,1 ppm (tedy 0,00001 %) vyvinul </w:t>
      </w:r>
      <w:r w:rsidDel="00000000" w:rsidR="00000000" w:rsidRPr="00000000">
        <w:rPr>
          <w:rFonts w:ascii="Arial" w:cs="Arial" w:eastAsia="Arial" w:hAnsi="Arial"/>
          <w:rtl w:val="0"/>
        </w:rPr>
        <w:t xml:space="preserve">v roce 1952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Charles Keeling. Nejprve byl výsledky svých měření překvapen, protože se koncentrace chaoticky měnila podle toho, odkud foukal vítr. Došlo mu, že jeho měření 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San Franciscu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ovlivňují okolní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lesy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(fotosyntéza)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továrny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(spalování) a že potřebuje měřit na místě, které bude od takových vlivů hodně vzdálené. Přesunul se proto doprostřed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Tichého oceánu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Mauna Loa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Havaji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Tam jeho měření začalo dávat smysl – koncentrace zůstávala stabilní. Po několika měsících viděl, že hodnoty během roku </w:t>
      </w:r>
      <w:r w:rsidDel="00000000" w:rsidR="00000000" w:rsidRPr="00000000">
        <w:rPr>
          <w:rFonts w:ascii="Arial" w:cs="Arial" w:eastAsia="Arial" w:hAnsi="Arial"/>
          <w:rtl w:val="0"/>
        </w:rPr>
        <w:t xml:space="preserve">kolísají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od května do října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klesají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po zbytek roku zase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stoupají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Pochopil, že pozoruje dýchání celé planety. Kromě tohoto kolísání mezi létem a zimou viděl Keeling také dlouhodobý nárůst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který přičítal spalování uhlí, ropy a zemního plynu.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68" w:right="401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atmosféra, člověk, kyslík, přibývat, spalování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Důkaz, že je nárůst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atmosféře skutečně způsobený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člověkem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přinesl Keelingův syn Ralph. Ten v roce 1988 objevil způsob, jak velmi přesně měřit koncentraci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kyslíku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Jeho měření ukazují na dlouhodobý nepřirozený pokles koncentrace kyslíku v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atmosféře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Dnes existují i další vědecké práce, založené mimo jiné na zkoumání izotopových stop, které potvrzují, že oxid uhličitý, který naopak v atmosféře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přibývá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pochází ze spalování fosilních paliv. Je proto jisté, že nárůst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skutečně způsobený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spalováním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víme, že nárůst koncentrací 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důsledkem spalování fosilních paliv? Dopočítej tři čísla chybějící v textu pomocí snadných kalkulací.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57.1653543307087" w:right="969.44881889763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Důkazů, že nárůst koncentrací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 způsoben spalováním fosilních paliv je několik. Lidstvo ročně spálí asi: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miliard tun uhlí (</w:t>
      </w:r>
      <w:r w:rsidDel="00000000" w:rsidR="00000000" w:rsidRPr="00000000">
        <w:rPr>
          <w:rFonts w:ascii="Arial" w:cs="Arial" w:eastAsia="Arial" w:hAnsi="Arial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yjádři hodnotu současné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atmosféře v procentech, zaokrouhli na dvě desetinná čísla a vynásob dvěma sty.)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0,04 * 200 =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miliard tun ropy (Sečti obě cifry procentuálního zastoupení dusíku v atmosféře a vyděl třemi.)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(7 + 8) / 3 = 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miliardy tun zemního plynu (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ečti obě cifry procentuálního zastoupení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atmosféře.)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2 + 1 =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57.1653543307087" w:right="969.44881889763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Nárůst koncentrací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atmosféře odpovídá těmto množstvím (po započtení pohlcení části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oceánech). Kdyby chtěl někdo tvrdit, že koncentrace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rostou z jiného důvodu, musel by přesvědčivě vysvětlit, kam se „ztratí“ emise ze spalování tak velkého množství fosilních paliv.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325120</wp:posOffset>
                </wp:positionV>
                <wp:extent cx="6983730" cy="946785"/>
                <wp:effectExtent b="0" l="0" r="0" t="0"/>
                <wp:wrapSquare wrapText="bothSides" distB="45720" distT="4572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58898" y="3311370"/>
                          <a:ext cx="697420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Autor: Jan Vavřín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325120</wp:posOffset>
                </wp:positionV>
                <wp:extent cx="6983730" cy="946785"/>
                <wp:effectExtent b="0" l="0" r="0" t="0"/>
                <wp:wrapSquare wrapText="bothSides" distB="45720" distT="45720" distL="114300" distR="11430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3730" cy="946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 w:orient="portrait"/>
      <w:pgMar w:bottom="720" w:top="720" w:left="720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 w:val="1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paragraph" w:styleId="doplvaka" w:customStyle="1">
    <w:name w:val="doplňvačka"/>
    <w:basedOn w:val="Odrkakostka"/>
    <w:link w:val="doplvakaChar"/>
    <w:qFormat w:val="1"/>
    <w:rsid w:val="00371D84"/>
    <w:pPr>
      <w:numPr>
        <w:numId w:val="0"/>
      </w:numPr>
      <w:ind w:left="360"/>
    </w:pPr>
  </w:style>
  <w:style w:type="character" w:styleId="doplvakaChar" w:customStyle="1">
    <w:name w:val="doplňvačka Char"/>
    <w:basedOn w:val="OdrkakostkaChar"/>
    <w:link w:val="doplvaka"/>
    <w:rsid w:val="00371D84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du.ceskatelevize.cz/video/5564-prirozeny-sklenikovy-efekt" TargetMode="External"/><Relationship Id="rId10" Type="http://schemas.openxmlformats.org/officeDocument/2006/relationships/hyperlink" Target="https://faktaoklimatu.cz/infografiky/cykly-koncentrace-co2" TargetMode="External"/><Relationship Id="rId12" Type="http://schemas.openxmlformats.org/officeDocument/2006/relationships/image" Target="media/image3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RDz3fU5MvODeeGxF673PeVXbA==">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2021-08-22T16:56:00Z</dcterms:created>
  <dc:creator>Jan Johanovský</dc:creator>
</cp:coreProperties>
</file>