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Budoucnost energetického mixu v ČR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pgSz w:h="16838" w:w="11906" w:orient="portrait"/>
          <w:pgMar w:bottom="720" w:top="720" w:left="720" w:right="849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Existují různé scénáře vývoje produkce elektrické energie v ČR. Všechny však reagují na klimatickou změnu a počítají s rozvojem čistých zdrojů a omezením spalování fosilních paliv.    K práci budeš potřebovat vizualizaci „Energynautics: Scénář transformace elektroenergetiky ČR“ (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https://faktaoklimatu.cz/studie/2018-scenar-energynautics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z webu faktaoklimatu.cz, kterému děkujeme za poskytnutí vizualizace i textových podkladů. Navržené video je doporučenou, nikoliv nezbytnou součástí aktivity.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2ea2"/>
          <w:sz w:val="32"/>
          <w:szCs w:val="32"/>
          <w:u w:val="singl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fldChar w:fldCharType="begin"/>
        <w:instrText xml:space="preserve"> HYPERLINK "https://edu.ceskatelevize.cz/video/9384-hospodareni-s-elektrinou-v-cesku" </w:instrText>
        <w:fldChar w:fldCharType="separat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2ea2"/>
          <w:sz w:val="32"/>
          <w:szCs w:val="32"/>
          <w:u w:val="single"/>
          <w:shd w:fill="auto" w:val="clear"/>
          <w:vertAlign w:val="baseline"/>
          <w:rtl w:val="0"/>
        </w:rPr>
        <w:t xml:space="preserve">Hospodaření s elektřinou v Česku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Zorientuj se v grafu. Do textu doplň slova „nahoře“ a „dole“.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Instalovaný výkon (v hlavním grafu __________) zachycuje, jaké elektrárny máme a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můžeme v budoucnu mít. Tedy kolik bude v Česku konvenčních elektráren na uhlí nebo na plyn, kolik solárních panelů a kolik větrných elektráren, kolik bioplynových stanic, kolik tepláren na biomasu a podobně.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Výroba elektřiny (v hlavním grafu __________) vyjadřuje, kolik které zdroje elektřiny </w:t>
      </w:r>
      <w:r w:rsidDel="00000000" w:rsidR="00000000" w:rsidRPr="00000000">
        <w:rPr>
          <w:rFonts w:ascii="Arial" w:cs="Arial" w:eastAsia="Arial" w:hAnsi="Arial"/>
          <w:rtl w:val="0"/>
        </w:rPr>
        <w:t xml:space="preserve">ve sledovaném roce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skutečně dodaly do přenosové soustavy.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Které tvrzení nejlépe vystihuje tento energetický scénář?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Snížení celkové výroby znamená, že se</w:t>
      </w: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 vlivem úspor sníží spotřeba elektrické energie.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 sníží čistý vývoz elektrické energie.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 zvýší poptávka po elektrické energii.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Najdi a oprav nepravdivá tvrzení.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 počítá s navýšením vývozu elektrické energie do zahraničí.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jednotlivých energetických zdrojů by se do roku 2030 měla procentuálně nejvíce navýšit výroba ze sluneční energie.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Čtverečky v dolní vizualizaci zobrazují instalovaný výkon, ale nijak nevypovídají o ploše, která se daným zdrojem zabere.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Uhlí je jediný z uvedených zdrojů elektrické energie, u kterého se z hlediska instalovaného výkonu počítá se snížením.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Výkon jaderných a vodních elektráren by se do roku 2030 neměl výrazně změnit.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2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2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Co jsem se touto aktivitou naučil(a):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284" w:right="-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4ynr03tdmt2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4895297</wp:posOffset>
                </wp:positionV>
                <wp:extent cx="6884670" cy="1133475"/>
                <wp:effectExtent b="0" l="0" r="0" t="0"/>
                <wp:wrapSquare wrapText="bothSides" distB="45720" distT="4572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8428" y="3218025"/>
                          <a:ext cx="687514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Autor: Jan Vavřín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Toto dílo je licencováno pod licencí Creative Commons [CC BY-NC 4.0]. Licenční podmínky navštivte na adrese [https://creativecommons.org/choose/?lang=cs].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4895297</wp:posOffset>
                </wp:positionV>
                <wp:extent cx="6884670" cy="1133475"/>
                <wp:effectExtent b="0" l="0" r="0" t="0"/>
                <wp:wrapSquare wrapText="bothSides" distB="45720" distT="45720" distL="114300" distR="11430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38" w:w="11906" w:orient="portrait"/>
      <w:pgMar w:bottom="720" w:top="720" w:left="720" w:right="99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10455"/>
      <w:tblGridChange w:id="0">
        <w:tblGrid>
          <w:gridCol w:w="10455"/>
        </w:tblGrid>
      </w:tblGridChange>
    </w:tblGrid>
    <w:tr>
      <w:trPr>
        <w:cantSplit w:val="0"/>
        <w:trHeight w:val="1278" w:hRule="atLeast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0" cy="570016"/>
                <wp:effectExtent b="0" l="0" r="0" 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53200" cy="1009650"/>
          <wp:effectExtent b="0" l="0" r="0" t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seznamu" w:customStyle="1">
    <w:name w:val="Nadpis seznamu"/>
    <w:basedOn w:val="Normln"/>
    <w:link w:val="NadpisseznamuChar"/>
    <w:qFormat w:val="1"/>
    <w:rsid w:val="7DAA1868"/>
    <w:rPr>
      <w:rFonts w:ascii="Arial" w:cs="Arial" w:eastAsia="Arial" w:hAnsi="Arial"/>
      <w:b w:val="1"/>
      <w:bCs w:val="1"/>
      <w:u w:val="single"/>
    </w:rPr>
  </w:style>
  <w:style w:type="paragraph" w:styleId="Nzevpracovnholistu" w:customStyle="1">
    <w:name w:val="Název pracovního listu"/>
    <w:basedOn w:val="Normln"/>
    <w:link w:val="NzevpracovnholistuChar"/>
    <w:qFormat w:val="1"/>
    <w:rsid w:val="7DAA1868"/>
    <w:rPr>
      <w:rFonts w:ascii="Arial" w:cs="Arial" w:eastAsia="Arial" w:hAnsi="Arial"/>
      <w:b w:val="1"/>
      <w:bCs w:val="1"/>
      <w:sz w:val="44"/>
      <w:szCs w:val="44"/>
    </w:rPr>
  </w:style>
  <w:style w:type="paragraph" w:styleId="Odrkakostka" w:customStyle="1">
    <w:name w:val="Odrážka kostka"/>
    <w:basedOn w:val="Normln"/>
    <w:link w:val="OdrkakostkaChar"/>
    <w:qFormat w:val="1"/>
    <w:rsid w:val="007D2437"/>
    <w:pPr>
      <w:numPr>
        <w:numId w:val="8"/>
      </w:numPr>
      <w:ind w:right="968"/>
    </w:pPr>
    <w:rPr>
      <w:rFonts w:ascii="Arial" w:cs="Arial" w:eastAsia="Arial" w:hAnsi="Arial"/>
    </w:rPr>
  </w:style>
  <w:style w:type="paragraph" w:styleId="Popispracovnholistu" w:customStyle="1">
    <w:name w:val="Popis pracovního listu"/>
    <w:basedOn w:val="Normln"/>
    <w:link w:val="PopispracovnholistuChar"/>
    <w:qFormat w:val="1"/>
    <w:rsid w:val="009D05FB"/>
    <w:pPr>
      <w:spacing w:after="120" w:before="240"/>
      <w:ind w:right="131"/>
      <w:jc w:val="both"/>
      <w:outlineLvl w:val="0"/>
    </w:pPr>
    <w:rPr>
      <w:rFonts w:ascii="Arial" w:cs="Arial" w:eastAsia="Arial" w:hAnsi="Arial"/>
      <w:sz w:val="28"/>
      <w:szCs w:val="32"/>
    </w:rPr>
  </w:style>
  <w:style w:type="paragraph" w:styleId="dekodpov" w:customStyle="1">
    <w:name w:val="Řádek odpověď"/>
    <w:basedOn w:val="Normln"/>
    <w:link w:val="dekodpovChar"/>
    <w:qFormat w:val="1"/>
    <w:rsid w:val="00EA3EF5"/>
    <w:pPr>
      <w:spacing w:line="480" w:lineRule="auto"/>
      <w:ind w:left="284" w:right="260"/>
      <w:jc w:val="both"/>
    </w:pPr>
    <w:rPr>
      <w:rFonts w:ascii="Arial" w:cs="Arial" w:eastAsia="Arial" w:hAnsi="Arial"/>
      <w:color w:val="33bef2"/>
    </w:rPr>
  </w:style>
  <w:style w:type="paragraph" w:styleId="kol-zadn" w:customStyle="1">
    <w:name w:val="Úkol - zadání"/>
    <w:basedOn w:val="Normln"/>
    <w:link w:val="kol-zadnChar"/>
    <w:qFormat w:val="1"/>
    <w:rsid w:val="00EE3316"/>
    <w:pPr>
      <w:numPr>
        <w:numId w:val="13"/>
      </w:numPr>
      <w:spacing w:line="240" w:lineRule="auto"/>
      <w:ind w:left="1068" w:right="401"/>
    </w:pPr>
    <w:rPr>
      <w:rFonts w:ascii="Arial" w:cs="Arial" w:eastAsia="Arial" w:hAnsi="Arial"/>
      <w:b w:val="1"/>
      <w:noProof w:val="1"/>
      <w:sz w:val="24"/>
    </w:rPr>
  </w:style>
  <w:style w:type="paragraph" w:styleId="Vpltabulky" w:customStyle="1">
    <w:name w:val="Výplň tabulky"/>
    <w:basedOn w:val="Normln"/>
    <w:link w:val="VpltabulkyChar"/>
    <w:qFormat w:val="1"/>
    <w:rsid w:val="7DAA1868"/>
    <w:pPr>
      <w:spacing w:after="0" w:before="240"/>
      <w:jc w:val="center"/>
    </w:pPr>
    <w:rPr>
      <w:rFonts w:ascii="Arial" w:cs="Arial" w:eastAsia="Arial" w:hAnsi="Arial"/>
      <w:b w:val="1"/>
      <w:bCs w:val="1"/>
    </w:rPr>
  </w:style>
  <w:style w:type="paragraph" w:styleId="Zhlav-tabulka" w:customStyle="1">
    <w:name w:val="Záhlaví - tabulka"/>
    <w:basedOn w:val="Normln"/>
    <w:link w:val="Zhlav-tabulkaChar"/>
    <w:qFormat w:val="1"/>
    <w:rsid w:val="7DAA1868"/>
    <w:pPr>
      <w:spacing w:after="240" w:before="240"/>
      <w:jc w:val="center"/>
    </w:pPr>
    <w:rPr>
      <w:rFonts w:ascii="Arial" w:cs="Arial" w:eastAsia="Arial" w:hAnsi="Arial"/>
      <w:b w:val="1"/>
      <w:bCs w:val="1"/>
    </w:rPr>
  </w:style>
  <w:style w:type="character" w:styleId="NzevpracovnholistuChar" w:customStyle="1">
    <w:name w:val="Název pracovního listu Char"/>
    <w:basedOn w:val="Standardnpsmoodstavce"/>
    <w:link w:val="Nzevpracovnholistu"/>
    <w:rsid w:val="7DAA1868"/>
    <w:rPr>
      <w:rFonts w:ascii="Arial" w:cs="Arial" w:eastAsia="Arial" w:hAnsi="Arial"/>
      <w:b w:val="1"/>
      <w:bCs w:val="1"/>
      <w:noProof w:val="0"/>
      <w:sz w:val="44"/>
      <w:szCs w:val="44"/>
      <w:lang w:val="cs-CZ"/>
    </w:rPr>
  </w:style>
  <w:style w:type="character" w:styleId="PopispracovnholistuChar" w:customStyle="1">
    <w:name w:val="Popis pracovního listu Char"/>
    <w:basedOn w:val="Standardnpsmoodstavce"/>
    <w:link w:val="Popispracovnholistu"/>
    <w:rsid w:val="009D05FB"/>
    <w:rPr>
      <w:rFonts w:ascii="Arial" w:cs="Arial" w:eastAsia="Arial" w:hAnsi="Arial"/>
      <w:sz w:val="28"/>
      <w:szCs w:val="32"/>
    </w:rPr>
  </w:style>
  <w:style w:type="character" w:styleId="kol-zadnChar" w:customStyle="1">
    <w:name w:val="Úkol - zadání Char"/>
    <w:basedOn w:val="Standardnpsmoodstavce"/>
    <w:link w:val="kol-zadn"/>
    <w:rsid w:val="00EE3316"/>
    <w:rPr>
      <w:rFonts w:ascii="Arial" w:cs="Arial" w:eastAsia="Arial" w:hAnsi="Arial"/>
      <w:b w:val="1"/>
      <w:noProof w:val="1"/>
      <w:sz w:val="24"/>
    </w:rPr>
  </w:style>
  <w:style w:type="character" w:styleId="dekodpovChar" w:customStyle="1">
    <w:name w:val="Řádek odpověď Char"/>
    <w:basedOn w:val="Standardnpsmoodstavce"/>
    <w:link w:val="dekodpov"/>
    <w:rsid w:val="00EA3EF5"/>
    <w:rPr>
      <w:rFonts w:ascii="Arial" w:cs="Arial" w:eastAsia="Arial" w:hAnsi="Arial"/>
      <w:color w:val="33bef2"/>
    </w:rPr>
  </w:style>
  <w:style w:type="character" w:styleId="NadpisseznamuChar" w:customStyle="1">
    <w:name w:val="Nadpis seznamu Char"/>
    <w:basedOn w:val="Standardnpsmoodstavce"/>
    <w:link w:val="Nadpisseznamu"/>
    <w:rsid w:val="7DAA1868"/>
    <w:rPr>
      <w:rFonts w:ascii="Arial" w:cs="Arial" w:eastAsia="Arial" w:hAnsi="Arial"/>
      <w:b w:val="1"/>
      <w:bCs w:val="1"/>
      <w:noProof w:val="0"/>
      <w:u w:val="single"/>
      <w:lang w:val="cs-CZ"/>
    </w:rPr>
  </w:style>
  <w:style w:type="character" w:styleId="VpltabulkyChar" w:customStyle="1">
    <w:name w:val="Výplň tabulky Char"/>
    <w:basedOn w:val="Standardnpsmoodstavce"/>
    <w:link w:val="Vpltabulky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character" w:styleId="OdrkakostkaChar" w:customStyle="1">
    <w:name w:val="Odrážka kostka Char"/>
    <w:basedOn w:val="Standardnpsmoodstavce"/>
    <w:link w:val="Odrkakostka"/>
    <w:rsid w:val="007D2437"/>
    <w:rPr>
      <w:rFonts w:ascii="Arial" w:cs="Arial" w:eastAsia="Arial" w:hAnsi="Arial"/>
    </w:rPr>
  </w:style>
  <w:style w:type="character" w:styleId="Zhlav-tabulkaChar" w:customStyle="1">
    <w:name w:val="Záhlaví - tabulka Char"/>
    <w:basedOn w:val="Standardnpsmoodstavce"/>
    <w:link w:val="Zhlav-tabulka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Zdraznnvtextu" w:customStyle="1">
    <w:name w:val="Zdůraznění v textu"/>
    <w:basedOn w:val="kol-zadn"/>
    <w:rsid w:val="00301E59"/>
    <w:rPr>
      <w:b w:val="0"/>
      <w:bCs w:val="1"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D334AC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D334AC"/>
    <w:rPr>
      <w:color w:val="605e5c"/>
      <w:shd w:color="auto" w:fill="e1dfdd" w:val="clear"/>
    </w:rPr>
  </w:style>
  <w:style w:type="paragraph" w:styleId="Videoodkaz" w:customStyle="1">
    <w:name w:val="Video odkaz"/>
    <w:basedOn w:val="Odrkakostka"/>
    <w:link w:val="VideoodkazChar"/>
    <w:autoRedefine w:val="1"/>
    <w:rsid w:val="00643389"/>
    <w:pPr>
      <w:numPr>
        <w:numId w:val="10"/>
      </w:numPr>
    </w:pPr>
    <w:rPr>
      <w:b w:val="1"/>
      <w:bCs w:val="1"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C10F6"/>
    <w:rPr>
      <w:color w:val="954f72" w:themeColor="followedHyperlink"/>
      <w:u w:val="single"/>
    </w:rPr>
  </w:style>
  <w:style w:type="paragraph" w:styleId="Video" w:customStyle="1">
    <w:name w:val="Video"/>
    <w:basedOn w:val="Videoodkaz"/>
    <w:link w:val="VideoChar"/>
    <w:qFormat w:val="1"/>
    <w:rsid w:val="00643389"/>
    <w:pPr>
      <w:spacing w:after="0"/>
    </w:pPr>
  </w:style>
  <w:style w:type="paragraph" w:styleId="Sebereflexeka" w:customStyle="1">
    <w:name w:val="Sebereflexe žáka"/>
    <w:link w:val="SebereflexekaChar"/>
    <w:qFormat w:val="1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VideoodkazChar" w:customStyle="1">
    <w:name w:val="Video odkaz Char"/>
    <w:basedOn w:val="OdrkakostkaChar"/>
    <w:link w:val="Videoodkaz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 w:val="1"/>
    </w:pPr>
  </w:style>
  <w:style w:type="character" w:styleId="SebereflexekaChar" w:customStyle="1">
    <w:name w:val="Sebereflexe žáka Char"/>
    <w:basedOn w:val="kol-zadnChar"/>
    <w:link w:val="Sebereflexeka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https://faktaoklimatu.cz/studie/2018-scenar-energynautics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pbErvOGLE0GsDz/MIHOtRhtQQ==">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2021-08-22T16:56:00Z</dcterms:created>
  <dc:creator>Jan Johanovský</dc:creator>
</cp:coreProperties>
</file>