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2C4F1" w14:textId="4C34CB68" w:rsidR="007F08DC" w:rsidRDefault="008653F4" w:rsidP="008653F4">
      <w:pPr>
        <w:pStyle w:val="Nzevpracovnholistu"/>
      </w:pPr>
      <w:r>
        <w:t xml:space="preserve">Vánoce: </w:t>
      </w:r>
      <w:r w:rsidR="00AB63CC">
        <w:t>U</w:t>
      </w:r>
      <w:r>
        <w:t xml:space="preserve">míme poděkovat přírodě? </w:t>
      </w:r>
      <w:r w:rsidR="00F3426D">
        <w:t>(metodika)</w:t>
      </w:r>
    </w:p>
    <w:p w14:paraId="27036F83" w14:textId="206C41F4" w:rsidR="008653F4" w:rsidRDefault="00171FEF" w:rsidP="008653F4">
      <w:pPr>
        <w:pStyle w:val="Popispracovnholistu"/>
      </w:pPr>
      <w:r w:rsidRPr="008653F4">
        <w:t>Cílem</w:t>
      </w:r>
      <w:r w:rsidR="00EB6C71" w:rsidRPr="008653F4">
        <w:t xml:space="preserve"> aktivity je </w:t>
      </w:r>
      <w:r w:rsidR="008653F4" w:rsidRPr="008653F4">
        <w:t>popsat důsledky naší materiální spotřeby. Jako odpověď na nadměrnou</w:t>
      </w:r>
      <w:r w:rsidR="00BD727F">
        <w:t xml:space="preserve"> lidskou</w:t>
      </w:r>
      <w:r w:rsidR="008653F4" w:rsidRPr="008653F4">
        <w:t xml:space="preserve"> spotřebu zdrojů a s ní spojené zatěžování životního prostředí můžeme využít poslední úkol, který vybízí k aktivnímu občanství. </w:t>
      </w:r>
    </w:p>
    <w:p w14:paraId="60809C02" w14:textId="77777777" w:rsidR="008653F4" w:rsidRPr="008653F4" w:rsidRDefault="008653F4" w:rsidP="008653F4">
      <w:pPr>
        <w:pStyle w:val="Popispracovnholistu"/>
        <w:sectPr w:rsidR="008653F4" w:rsidRPr="008653F4" w:rsidSect="009D05FB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68CD1D9" w14:textId="742AFA11" w:rsidR="006371D4" w:rsidRPr="008711E0" w:rsidRDefault="00332DE7" w:rsidP="008711E0">
      <w:pPr>
        <w:pStyle w:val="Video"/>
        <w:rPr>
          <w:rStyle w:val="Hypertextovodkaz"/>
          <w:color w:val="F22EA2"/>
        </w:rPr>
        <w:sectPr w:rsidR="006371D4" w:rsidRPr="008711E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1" w:history="1">
        <w:r w:rsidR="00BD727F">
          <w:rPr>
            <w:rStyle w:val="Hypertextovodkaz"/>
            <w:color w:val="F22EA2"/>
          </w:rPr>
          <w:t>Problém jménem „odpad“: svátky konzumu</w:t>
        </w:r>
      </w:hyperlink>
    </w:p>
    <w:p w14:paraId="450B55CA" w14:textId="77777777" w:rsidR="00465A9C" w:rsidRDefault="6F7C9433" w:rsidP="00FA405E">
      <w:pPr>
        <w:pStyle w:val="Popispracovnholistu"/>
        <w:rPr>
          <w:color w:val="404040" w:themeColor="text1" w:themeTint="BF"/>
        </w:rPr>
        <w:sectPr w:rsidR="00465A9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2E8D214D" w14:textId="1726C2C9" w:rsidR="00FA405E" w:rsidRDefault="00FA405E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35AEB68" w14:textId="3B3CA939" w:rsidR="008653F4" w:rsidRDefault="008653F4" w:rsidP="008653F4">
      <w:pPr>
        <w:pStyle w:val="kol-zadn"/>
      </w:pPr>
      <w:r>
        <w:t xml:space="preserve">Popiš svými slovy </w:t>
      </w:r>
      <w:r w:rsidRPr="001C317A">
        <w:t xml:space="preserve">problém </w:t>
      </w:r>
      <w:r>
        <w:t>zobrazený v reportáži.</w:t>
      </w:r>
    </w:p>
    <w:p w14:paraId="1C9CE4D7" w14:textId="30AC3118" w:rsidR="008653F4" w:rsidRDefault="00D21265" w:rsidP="00D21265">
      <w:pPr>
        <w:pStyle w:val="dekodpov"/>
        <w:spacing w:line="276" w:lineRule="auto"/>
        <w:ind w:left="360"/>
      </w:pPr>
      <w:r>
        <w:t>Individuální odpovědi, n</w:t>
      </w:r>
      <w:r w:rsidR="008653F4">
        <w:t xml:space="preserve">apř. nadměrné využívání zdrojů, </w:t>
      </w:r>
      <w:r w:rsidR="00EE2323">
        <w:t xml:space="preserve">plýtvání, </w:t>
      </w:r>
      <w:r>
        <w:t>odlišný</w:t>
      </w:r>
      <w:r w:rsidR="00EE2323">
        <w:t xml:space="preserve"> </w:t>
      </w:r>
      <w:r>
        <w:t>přístup k</w:t>
      </w:r>
      <w:r w:rsidR="00EE2323">
        <w:t xml:space="preserve"> soukrom</w:t>
      </w:r>
      <w:r>
        <w:t>é</w:t>
      </w:r>
      <w:r w:rsidR="00EE2323">
        <w:t>m</w:t>
      </w:r>
      <w:r>
        <w:t>u</w:t>
      </w:r>
      <w:r w:rsidR="00EE2323">
        <w:t xml:space="preserve"> </w:t>
      </w:r>
      <w:r>
        <w:t>vs.</w:t>
      </w:r>
      <w:r w:rsidR="00BD727F">
        <w:t> </w:t>
      </w:r>
      <w:r w:rsidR="00EE2323">
        <w:t>veřejn</w:t>
      </w:r>
      <w:r>
        <w:t>ému prostoru</w:t>
      </w:r>
      <w:r w:rsidR="00EE2323">
        <w:t xml:space="preserve">, nesoulad mezi tím, jak se chováme o </w:t>
      </w:r>
      <w:r w:rsidR="00BD727F">
        <w:t>V</w:t>
      </w:r>
      <w:r w:rsidR="00EE2323">
        <w:t xml:space="preserve">ánocích k lidem a jak naopak k životnímu </w:t>
      </w:r>
      <w:r>
        <w:t>prostředí, jehož zdroje každodenně využíváme.</w:t>
      </w:r>
      <w:r w:rsidR="00EE2323">
        <w:t xml:space="preserve"> </w:t>
      </w:r>
    </w:p>
    <w:p w14:paraId="71229A78" w14:textId="77777777" w:rsidR="008653F4" w:rsidRPr="001C317A" w:rsidRDefault="008653F4" w:rsidP="008653F4">
      <w:pPr>
        <w:pStyle w:val="kol-zadn"/>
        <w:numPr>
          <w:ilvl w:val="0"/>
          <w:numId w:val="0"/>
        </w:numPr>
        <w:ind w:left="1068" w:hanging="360"/>
        <w:sectPr w:rsidR="008653F4" w:rsidRPr="001C317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14:paraId="53384C1E" w14:textId="77777777" w:rsidR="008653F4" w:rsidRDefault="008653F4" w:rsidP="008653F4">
      <w:pPr>
        <w:pStyle w:val="kol-zadn"/>
      </w:pPr>
      <w:r w:rsidRPr="001C317A">
        <w:t xml:space="preserve">Každý problém má své příčiny a důsledky. </w:t>
      </w:r>
      <w:r>
        <w:t xml:space="preserve">Zamysli se a napiš, které lidské vlastnosti vedou ke vzniku výše popsaného problému. </w:t>
      </w:r>
    </w:p>
    <w:p w14:paraId="325F4251" w14:textId="2A192F5A" w:rsidR="00D21265" w:rsidRDefault="00D21265" w:rsidP="00D21265">
      <w:pPr>
        <w:pStyle w:val="dekodpov"/>
      </w:pPr>
      <w:r>
        <w:t>Podpořte individuální řešení.</w:t>
      </w:r>
    </w:p>
    <w:p w14:paraId="02B890E9" w14:textId="58202EFA" w:rsidR="008653F4" w:rsidRDefault="008653F4" w:rsidP="008653F4">
      <w:pPr>
        <w:pStyle w:val="kol-zadn"/>
      </w:pPr>
      <w:r w:rsidRPr="000537A2">
        <w:t>I přes celkov</w:t>
      </w:r>
      <w:r w:rsidR="00544E9F">
        <w:t>é</w:t>
      </w:r>
      <w:r w:rsidRPr="000537A2">
        <w:t xml:space="preserve"> negativní vyznění </w:t>
      </w:r>
      <w:r w:rsidR="00544E9F">
        <w:t>reportáže si můžeme všimnout</w:t>
      </w:r>
      <w:r w:rsidRPr="000537A2">
        <w:t xml:space="preserve">, že mnoho lidí mělo snahu </w:t>
      </w:r>
      <w:r>
        <w:t xml:space="preserve">vzniklý </w:t>
      </w:r>
      <w:r w:rsidRPr="000537A2">
        <w:t xml:space="preserve">odpad třídit, aby mohl být </w:t>
      </w:r>
      <w:r>
        <w:t>materiál</w:t>
      </w:r>
      <w:r w:rsidRPr="000537A2">
        <w:t xml:space="preserve"> recyklován a dále využit. Co je však lepším řešením</w:t>
      </w:r>
      <w:r w:rsidR="00544E9F">
        <w:t xml:space="preserve"> </w:t>
      </w:r>
      <w:r w:rsidRPr="000537A2">
        <w:t>než odpad třídit?</w:t>
      </w:r>
    </w:p>
    <w:p w14:paraId="7D9BEB45" w14:textId="65B7192A" w:rsidR="008653F4" w:rsidRPr="000537A2" w:rsidRDefault="00D21265" w:rsidP="000F76CA">
      <w:pPr>
        <w:pStyle w:val="dekodpov"/>
        <w:spacing w:line="240" w:lineRule="auto"/>
      </w:pPr>
      <w:r>
        <w:t>Např</w:t>
      </w:r>
      <w:r w:rsidR="00544E9F">
        <w:t>íklad</w:t>
      </w:r>
      <w:r>
        <w:t xml:space="preserve"> předejít tvorbě odpadu, </w:t>
      </w:r>
      <w:r w:rsidR="000F76CA">
        <w:t xml:space="preserve">vytvářet </w:t>
      </w:r>
      <w:r>
        <w:t>menší množství, zodpovědné spotřební chování</w:t>
      </w:r>
      <w:r w:rsidR="00544E9F">
        <w:t>.</w:t>
      </w:r>
    </w:p>
    <w:p w14:paraId="79BCC571" w14:textId="3C4D5320" w:rsidR="008653F4" w:rsidRDefault="008653F4" w:rsidP="008653F4">
      <w:pPr>
        <w:pStyle w:val="kol-zadn"/>
      </w:pPr>
      <w:r>
        <w:t xml:space="preserve">Pracujte ve skupinách. </w:t>
      </w:r>
      <w:r w:rsidRPr="00876FC6">
        <w:t xml:space="preserve">Vytvořte plán, jak </w:t>
      </w:r>
      <w:r>
        <w:t>ve vánočním období pomoci prostředí, ve kterém žijeme</w:t>
      </w:r>
      <w:r w:rsidR="00A37462">
        <w:t>,</w:t>
      </w:r>
      <w:r w:rsidRPr="00876FC6">
        <w:t xml:space="preserve"> abychom </w:t>
      </w:r>
      <w:r>
        <w:t>nemuseli být těmi, kteří ji pouze využívají, ale také se k ní chovají zodpovědně a udržitelně.</w:t>
      </w:r>
    </w:p>
    <w:p w14:paraId="4973D461" w14:textId="4DCF3865" w:rsidR="00CE28A6" w:rsidRDefault="00CE28A6" w:rsidP="003D26FD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5F8C230C" w14:textId="67E0C6FB" w:rsidR="00CE28A6" w:rsidRDefault="003B2B42" w:rsidP="00C619AD">
      <w:pPr>
        <w:pStyle w:val="dekodpov"/>
        <w:spacing w:line="276" w:lineRule="auto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Výsledkem práce žáků může být návrh opatření na redukci produkce odpadu, </w:t>
      </w:r>
      <w:r w:rsidR="00C619AD">
        <w:t>podpora separace kovů, vysázení stromořadí na vytipovaném pásu vlastněn</w:t>
      </w:r>
      <w:r w:rsidR="00C86BE1">
        <w:t>é</w:t>
      </w:r>
      <w:r w:rsidR="00C619AD">
        <w:t>m obcí apod. Plán by mohl být</w:t>
      </w:r>
      <w:r>
        <w:t xml:space="preserve"> představen na schůzi školního parlamentu</w:t>
      </w:r>
      <w:r w:rsidR="00C86BE1">
        <w:t xml:space="preserve"> nebo </w:t>
      </w:r>
      <w:r>
        <w:t xml:space="preserve">při setkání s vedením obce. </w:t>
      </w:r>
      <w:r w:rsidR="00C619AD">
        <w:t>V případě zavádění o</w:t>
      </w:r>
      <w:r>
        <w:t xml:space="preserve">patření </w:t>
      </w:r>
      <w:r w:rsidR="00C619AD">
        <w:t>v domácnostech lze</w:t>
      </w:r>
      <w:r>
        <w:t xml:space="preserve"> po měsíci </w:t>
      </w:r>
      <w:r w:rsidR="00C619AD">
        <w:t xml:space="preserve">zorganizovat </w:t>
      </w:r>
      <w:r>
        <w:t>hodin</w:t>
      </w:r>
      <w:r w:rsidR="00C619AD">
        <w:t>u</w:t>
      </w:r>
      <w:r>
        <w:t xml:space="preserve"> s prezentováním dosa</w:t>
      </w:r>
      <w:r w:rsidR="00C619AD">
        <w:t>žených změn.</w:t>
      </w:r>
    </w:p>
    <w:p w14:paraId="6B0B12F0" w14:textId="7E82D1AD" w:rsidR="00241D37" w:rsidRPr="00FA405E" w:rsidRDefault="00241D37" w:rsidP="00904051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7E4BAD68"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2" name="Obrázek 2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0600CB">
                              <w:t>Jan Vavřín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1CAAD9D6" w14:textId="7E4BAD68"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2" name="Obrázek 2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0600CB">
                        <w:t>Jan Vavřín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FA405E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12414" w14:textId="77777777" w:rsidR="00EC417E" w:rsidRDefault="00EC417E">
      <w:pPr>
        <w:spacing w:after="0" w:line="240" w:lineRule="auto"/>
      </w:pPr>
      <w:r>
        <w:separator/>
      </w:r>
    </w:p>
  </w:endnote>
  <w:endnote w:type="continuationSeparator" w:id="0">
    <w:p w14:paraId="4DC49C30" w14:textId="77777777" w:rsidR="00EC417E" w:rsidRDefault="00EC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D18EA" w14:textId="1954EAF1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83D6E" w14:textId="77777777" w:rsidR="00EC417E" w:rsidRDefault="00EC417E">
      <w:pPr>
        <w:spacing w:after="0" w:line="240" w:lineRule="auto"/>
      </w:pPr>
      <w:r>
        <w:separator/>
      </w:r>
    </w:p>
  </w:footnote>
  <w:footnote w:type="continuationSeparator" w:id="0">
    <w:p w14:paraId="60BB3639" w14:textId="77777777" w:rsidR="00EC417E" w:rsidRDefault="00EC4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25pt;height:3.75pt" o:bullet="t">
        <v:imagedata r:id="rId1" o:title="odrazka"/>
      </v:shape>
    </w:pict>
  </w:numPicBullet>
  <w:numPicBullet w:numPicBulletId="1">
    <w:pict>
      <v:shape id="_x0000_i1031" type="#_x0000_t75" style="width:5.25pt;height:3.75pt" o:bullet="t">
        <v:imagedata r:id="rId2" o:title="videoodrazka"/>
      </v:shape>
    </w:pict>
  </w:numPicBullet>
  <w:numPicBullet w:numPicBulletId="2">
    <w:pict>
      <v:shape id="_x0000_i1032" type="#_x0000_t75" style="width:13.5pt;height:12pt" o:bullet="t">
        <v:imagedata r:id="rId3" o:title="videoodrazka"/>
      </v:shape>
    </w:pict>
  </w:numPicBullet>
  <w:numPicBullet w:numPicBulletId="3">
    <w:pict>
      <v:shape id="_x0000_i1033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6AF23CC0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3E4F"/>
    <w:rsid w:val="000600CB"/>
    <w:rsid w:val="000A423A"/>
    <w:rsid w:val="000F76CA"/>
    <w:rsid w:val="00106D77"/>
    <w:rsid w:val="0011432B"/>
    <w:rsid w:val="001260AA"/>
    <w:rsid w:val="00161AD8"/>
    <w:rsid w:val="00164DD0"/>
    <w:rsid w:val="00171FEF"/>
    <w:rsid w:val="00194B7F"/>
    <w:rsid w:val="001A118A"/>
    <w:rsid w:val="0023703A"/>
    <w:rsid w:val="00241D37"/>
    <w:rsid w:val="002A3429"/>
    <w:rsid w:val="002C10F6"/>
    <w:rsid w:val="002C40BC"/>
    <w:rsid w:val="002D5A52"/>
    <w:rsid w:val="00301E59"/>
    <w:rsid w:val="00332DE7"/>
    <w:rsid w:val="003365B2"/>
    <w:rsid w:val="00363480"/>
    <w:rsid w:val="003B2B42"/>
    <w:rsid w:val="003D1840"/>
    <w:rsid w:val="003D26FD"/>
    <w:rsid w:val="003D4F2A"/>
    <w:rsid w:val="004210B0"/>
    <w:rsid w:val="00465A9C"/>
    <w:rsid w:val="00544E9F"/>
    <w:rsid w:val="005521CC"/>
    <w:rsid w:val="005E2369"/>
    <w:rsid w:val="0060729B"/>
    <w:rsid w:val="006371D4"/>
    <w:rsid w:val="00643389"/>
    <w:rsid w:val="007107D3"/>
    <w:rsid w:val="00777383"/>
    <w:rsid w:val="007D2437"/>
    <w:rsid w:val="007F08DC"/>
    <w:rsid w:val="00821AD6"/>
    <w:rsid w:val="008311C7"/>
    <w:rsid w:val="008456A5"/>
    <w:rsid w:val="008653F4"/>
    <w:rsid w:val="008711E0"/>
    <w:rsid w:val="008C3CFF"/>
    <w:rsid w:val="00904051"/>
    <w:rsid w:val="00936E54"/>
    <w:rsid w:val="009D05FB"/>
    <w:rsid w:val="00A37462"/>
    <w:rsid w:val="00A74966"/>
    <w:rsid w:val="00A93FCD"/>
    <w:rsid w:val="00AB63CC"/>
    <w:rsid w:val="00AD1C92"/>
    <w:rsid w:val="00B16A1A"/>
    <w:rsid w:val="00B860F1"/>
    <w:rsid w:val="00BB5F9B"/>
    <w:rsid w:val="00BC46D4"/>
    <w:rsid w:val="00BD727F"/>
    <w:rsid w:val="00C31B60"/>
    <w:rsid w:val="00C619AD"/>
    <w:rsid w:val="00C65CB9"/>
    <w:rsid w:val="00C86BE1"/>
    <w:rsid w:val="00CE28A6"/>
    <w:rsid w:val="00D21265"/>
    <w:rsid w:val="00D334AC"/>
    <w:rsid w:val="00D85463"/>
    <w:rsid w:val="00DB4536"/>
    <w:rsid w:val="00DF054D"/>
    <w:rsid w:val="00E0332A"/>
    <w:rsid w:val="00E77B64"/>
    <w:rsid w:val="00E83A5E"/>
    <w:rsid w:val="00EA3EF5"/>
    <w:rsid w:val="00EB6C71"/>
    <w:rsid w:val="00EC417E"/>
    <w:rsid w:val="00ED3DDC"/>
    <w:rsid w:val="00EE2323"/>
    <w:rsid w:val="00EE3316"/>
    <w:rsid w:val="00EF4FD5"/>
    <w:rsid w:val="00F14673"/>
    <w:rsid w:val="00F15F6B"/>
    <w:rsid w:val="00F2067A"/>
    <w:rsid w:val="00F279BD"/>
    <w:rsid w:val="00F3426D"/>
    <w:rsid w:val="00F82825"/>
    <w:rsid w:val="00F82B8B"/>
    <w:rsid w:val="00F86916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D4F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4F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4F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4F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4F2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4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4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2877-problem-jmenem-odpad-svatky-konzum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0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C5046-EB3B-4231-ABF1-06756148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24</cp:revision>
  <cp:lastPrinted>2021-07-23T08:26:00Z</cp:lastPrinted>
  <dcterms:created xsi:type="dcterms:W3CDTF">2022-03-19T08:28:00Z</dcterms:created>
  <dcterms:modified xsi:type="dcterms:W3CDTF">2023-12-04T16:54:00Z</dcterms:modified>
</cp:coreProperties>
</file>