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Anatomie zrady 2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Příběh jedné z nejvíce kontroverzních osobností našich dějin - Emanuela Moravce - poskytuje příležitost lépe porozumět složité době konce 30. let 20. století a období protektorátu. Cílem pracovního listu je napomoci tomuto porozumění.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K zodpovězení otázek v Pracovním listu</w:t>
      </w:r>
      <w:r w:rsidDel="00000000" w:rsidR="00000000" w:rsidRPr="00000000">
        <w:rPr>
          <w:rtl w:val="0"/>
        </w:rPr>
        <w:t xml:space="preserve"> vyhledávejte  v různých zdrojích k tématu na internetu, včetně Wikipedie. Následně  zdůvodněte svůj výběr a uveďte,  v čem se zdroje liší. </w:t>
      </w:r>
      <w:r w:rsidDel="00000000" w:rsidR="00000000" w:rsidRPr="00000000">
        <w:rPr>
          <w:rtl w:val="0"/>
        </w:rPr>
      </w:r>
    </w:p>
    <w:tbl>
      <w:tblPr>
        <w:tblStyle w:val="Table1"/>
        <w:tblW w:w="15825.0" w:type="dxa"/>
        <w:jc w:val="left"/>
        <w:tblInd w:w="0.0" w:type="dxa"/>
        <w:tblLayout w:type="fixed"/>
        <w:tblLook w:val="0600"/>
      </w:tblPr>
      <w:tblGrid>
        <w:gridCol w:w="10864"/>
        <w:gridCol w:w="1691"/>
        <w:gridCol w:w="3270"/>
        <w:tblGridChange w:id="0">
          <w:tblGrid>
            <w:gridCol w:w="10864"/>
            <w:gridCol w:w="1691"/>
            <w:gridCol w:w="3270"/>
          </w:tblGrid>
        </w:tblGridChange>
      </w:tblGrid>
      <w:tr>
        <w:trPr>
          <w:trHeight w:val="49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 Video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  <w:hyperlink r:id="rId6">
              <w:r w:rsidDel="00000000" w:rsidR="00000000" w:rsidRPr="00000000">
                <w:rPr>
                  <w:rFonts w:ascii="Roboto" w:cs="Roboto" w:eastAsia="Roboto" w:hAnsi="Roboto"/>
                  <w:b w:val="1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Emanuel Moravec na vrcholu své moci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  <w:right w:color="ffffff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color w:val="000000"/>
                <w:rtl w:val="0"/>
              </w:rPr>
              <w:t xml:space="preserve">  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 bylo Kuratorium pro výchovu mládeže v Čechách a na Moravě?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Zjistěte, kdo byl Jan Rys-Rozsévač.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Pasáž naznačuje, že by státního prezidenta Háchu mohl nahradit právě Moravec. Uveďte důvody proč ano a proč ne.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. Zjistěte, proč bylo otevření cesty ke Stalingradu pro německou armádu důležité.</w:t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935.0" w:type="dxa"/>
        <w:jc w:val="left"/>
        <w:tblInd w:w="0.0" w:type="dxa"/>
        <w:tblLayout w:type="fixed"/>
        <w:tblLook w:val="0600"/>
      </w:tblPr>
      <w:tblGrid>
        <w:gridCol w:w="10935"/>
        <w:tblGridChange w:id="0">
          <w:tblGrid>
            <w:gridCol w:w="10935"/>
          </w:tblGrid>
        </w:tblGridChange>
      </w:tblGrid>
      <w:tr>
        <w:trPr>
          <w:trHeight w:val="49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1C">
            <w:pPr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Video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  <w:hyperlink r:id="rId7">
              <w:r w:rsidDel="00000000" w:rsidR="00000000" w:rsidRPr="00000000">
                <w:rPr>
                  <w:rFonts w:ascii="Roboto" w:cs="Roboto" w:eastAsia="Roboto" w:hAnsi="Roboto"/>
                  <w:b w:val="1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Odplata za atentát na Reinharda Heydricha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  <w:right w:color="ffffff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2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color w:val="000000"/>
                <w:rtl w:val="0"/>
              </w:rPr>
              <w:t xml:space="preserve">  Vyhledejte na internetu nebo v odborné literatuře,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 bylo stanné právo?</w:t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2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 Vyhledejte v různých zdrojích, 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jaká budoucnost čekala české země po německém vítězství ve válce?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2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highlight w:val="white"/>
                <w:rtl w:val="0"/>
              </w:rPr>
              <w:t xml:space="preserve">3.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 Jaký vliv měl atentát na R. Heydricha na tehdejší obyvatele protektorátu? Z videa zjistěte, jaké byly povinnosti občanů související s atentátem.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/>
      <w:pgMar w:bottom="566" w:top="566" w:left="566" w:right="56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ource Sans Pro SemiBold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Source Sans Pr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>
        <w:sz w:val="2"/>
        <w:szCs w:val="2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b="0" l="0" r="0" t="0"/>
          <wp:wrapSquare wrapText="bothSides" distB="114300" distT="114300" distL="114300" distR="114300"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3"/>
      <w:tblW w:w="9915.0" w:type="dxa"/>
      <w:jc w:val="left"/>
      <w:tblInd w:w="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7095"/>
      <w:gridCol w:w="2820"/>
      <w:tblGridChange w:id="0">
        <w:tblGrid>
          <w:gridCol w:w="7095"/>
          <w:gridCol w:w="2820"/>
        </w:tblGrid>
      </w:tblGridChange>
    </w:tblGrid>
    <w:tr>
      <w:trPr>
        <w:trHeight w:val="180" w:hRule="atLeast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</w:tcPr>
        <w:p w:rsidR="00000000" w:rsidDel="00000000" w:rsidP="00000000" w:rsidRDefault="00000000" w:rsidRPr="00000000" w14:paraId="00000025">
          <w:pPr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Anatomie zrady</w:t>
          </w:r>
        </w:p>
        <w:p w:rsidR="00000000" w:rsidDel="00000000" w:rsidP="00000000" w:rsidRDefault="00000000" w:rsidRPr="00000000" w14:paraId="00000026">
          <w:pPr>
            <w:rPr>
              <w:color w:val="666666"/>
              <w:sz w:val="20"/>
              <w:szCs w:val="20"/>
            </w:rPr>
          </w:pPr>
          <w:r w:rsidDel="00000000" w:rsidR="00000000" w:rsidRPr="00000000">
            <w:rPr>
              <w:color w:val="666666"/>
              <w:sz w:val="20"/>
              <w:szCs w:val="20"/>
              <w:rtl w:val="0"/>
            </w:rPr>
            <w:t xml:space="preserve">Pracovní list k samostatné práci </w:t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</w:tcPr>
        <w:p w:rsidR="00000000" w:rsidDel="00000000" w:rsidP="00000000" w:rsidRDefault="00000000" w:rsidRPr="00000000" w14:paraId="00000027">
          <w:pPr>
            <w:jc w:val="right"/>
            <w:rPr/>
          </w:pPr>
          <w:r w:rsidDel="00000000" w:rsidR="00000000" w:rsidRPr="00000000">
            <w:rPr>
              <w:rtl w:val="0"/>
            </w:rPr>
            <w:t xml:space="preserve">Jméno žáka:</w:t>
          </w:r>
        </w:p>
      </w:tc>
    </w:tr>
  </w:tbl>
  <w:p w:rsidR="00000000" w:rsidDel="00000000" w:rsidP="00000000" w:rsidRDefault="00000000" w:rsidRPr="00000000" w14:paraId="00000028">
    <w:pPr>
      <w:tabs>
        <w:tab w:val="left" w:pos="720"/>
        <w:tab w:val="left" w:pos="1440"/>
        <w:tab w:val="left" w:pos="2160"/>
        <w:tab w:val="left" w:pos="9000"/>
      </w:tabs>
      <w:rPr/>
    </w:pPr>
    <w:r w:rsidDel="00000000" w:rsidR="00000000" w:rsidRPr="00000000">
      <w:rPr>
        <w:rtl w:val="0"/>
      </w:rPr>
      <w:tab/>
      <w:tab/>
      <w:tab/>
    </w: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-33334</wp:posOffset>
          </wp:positionH>
          <wp:positionV relativeFrom="page">
            <wp:posOffset>-174621</wp:posOffset>
          </wp:positionV>
          <wp:extent cx="7600950" cy="285750"/>
          <wp:effectExtent b="0" l="0" r="0" t="0"/>
          <wp:wrapSquare wrapText="bothSides" distB="114300" distT="11430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b="0" l="0" r="0" t="0"/>
          <wp:wrapSquare wrapText="bothSides" distB="114300" distT="11430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Sans Pro" w:cs="Source Sans Pro" w:eastAsia="Source Sans Pro" w:hAnsi="Source Sans Pro"/>
        <w:sz w:val="22"/>
        <w:szCs w:val="22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rFonts w:ascii="Source Sans Pro SemiBold" w:cs="Source Sans Pro SemiBold" w:eastAsia="Source Sans Pro SemiBold" w:hAnsi="Source Sans Pro SemiBold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rFonts w:ascii="Source Sans Pro SemiBold" w:cs="Source Sans Pro SemiBold" w:eastAsia="Source Sans Pro SemiBold" w:hAnsi="Source Sans Pro SemiBold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edu.ceskatelevize.cz/reserse/3722" TargetMode="External"/><Relationship Id="rId7" Type="http://schemas.openxmlformats.org/officeDocument/2006/relationships/hyperlink" Target="https://edu.ceskatelevize.cz/reserse/3723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SourceSansPro-italic.ttf"/><Relationship Id="rId10" Type="http://schemas.openxmlformats.org/officeDocument/2006/relationships/font" Target="fonts/SourceSansPro-bold.ttf"/><Relationship Id="rId12" Type="http://schemas.openxmlformats.org/officeDocument/2006/relationships/font" Target="fonts/SourceSansPro-boldItalic.ttf"/><Relationship Id="rId9" Type="http://schemas.openxmlformats.org/officeDocument/2006/relationships/font" Target="fonts/SourceSansPro-regular.ttf"/><Relationship Id="rId5" Type="http://schemas.openxmlformats.org/officeDocument/2006/relationships/font" Target="fonts/SourceSansProSemiBold-regular.ttf"/><Relationship Id="rId6" Type="http://schemas.openxmlformats.org/officeDocument/2006/relationships/font" Target="fonts/SourceSansProSemiBold-bold.ttf"/><Relationship Id="rId7" Type="http://schemas.openxmlformats.org/officeDocument/2006/relationships/font" Target="fonts/SourceSansProSemiBold-italic.ttf"/><Relationship Id="rId8" Type="http://schemas.openxmlformats.org/officeDocument/2006/relationships/font" Target="fonts/SourceSansProSemiBol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