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E8" w:rsidRDefault="00CC7DFD">
      <w:pPr>
        <w:pStyle w:val="Zkladn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E8" w:rsidRDefault="00061EE8">
      <w:pPr>
        <w:pStyle w:val="Zkladntext"/>
        <w:rPr>
          <w:rFonts w:ascii="Times New Roman"/>
          <w:sz w:val="23"/>
        </w:rPr>
      </w:pPr>
    </w:p>
    <w:p w:rsidR="00061EE8" w:rsidRDefault="00CC7DFD">
      <w:pPr>
        <w:pStyle w:val="Nzev"/>
      </w:pPr>
      <w:r>
        <w:t>Výroba</w:t>
      </w:r>
      <w:r>
        <w:rPr>
          <w:spacing w:val="-6"/>
        </w:rPr>
        <w:t xml:space="preserve"> </w:t>
      </w:r>
      <w:r>
        <w:t>biopolymeru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řešení</w:t>
      </w:r>
    </w:p>
    <w:p w:rsidR="00061EE8" w:rsidRDefault="00CC7DFD">
      <w:pPr>
        <w:spacing w:before="200" w:line="259" w:lineRule="auto"/>
        <w:ind w:left="100" w:right="1083"/>
        <w:rPr>
          <w:sz w:val="24"/>
        </w:rPr>
      </w:pPr>
      <w:r w:rsidRPr="00CC7DFD">
        <w:rPr>
          <w:sz w:val="24"/>
        </w:rPr>
        <w:t>Pracovní</w:t>
      </w:r>
      <w:r w:rsidRPr="00CC7DFD">
        <w:rPr>
          <w:sz w:val="24"/>
        </w:rPr>
        <w:t xml:space="preserve"> </w:t>
      </w:r>
      <w:r w:rsidRPr="00CC7DFD">
        <w:rPr>
          <w:sz w:val="24"/>
        </w:rPr>
        <w:t>list</w:t>
      </w:r>
      <w:r w:rsidRPr="00CC7DFD">
        <w:rPr>
          <w:sz w:val="24"/>
        </w:rPr>
        <w:t xml:space="preserve"> </w:t>
      </w:r>
      <w:r w:rsidRPr="00CC7DFD">
        <w:rPr>
          <w:sz w:val="24"/>
        </w:rPr>
        <w:t>je</w:t>
      </w:r>
      <w:r w:rsidRPr="00CC7DFD">
        <w:rPr>
          <w:sz w:val="24"/>
        </w:rPr>
        <w:t xml:space="preserve"> </w:t>
      </w:r>
      <w:r w:rsidRPr="00CC7DFD">
        <w:rPr>
          <w:sz w:val="24"/>
        </w:rPr>
        <w:t>vhodný</w:t>
      </w:r>
      <w:r w:rsidRPr="00CC7DFD">
        <w:rPr>
          <w:sz w:val="24"/>
        </w:rPr>
        <w:t xml:space="preserve"> </w:t>
      </w:r>
      <w:r w:rsidRPr="00CC7DFD">
        <w:rPr>
          <w:sz w:val="24"/>
        </w:rPr>
        <w:t>pro</w:t>
      </w:r>
      <w:r w:rsidRPr="00CC7DFD">
        <w:rPr>
          <w:sz w:val="24"/>
        </w:rPr>
        <w:t xml:space="preserve"> </w:t>
      </w:r>
      <w:r w:rsidRPr="00CC7DFD">
        <w:rPr>
          <w:sz w:val="24"/>
        </w:rPr>
        <w:t>žáky</w:t>
      </w:r>
      <w:r w:rsidRPr="00CC7DFD">
        <w:rPr>
          <w:sz w:val="24"/>
        </w:rPr>
        <w:t xml:space="preserve"> </w:t>
      </w:r>
      <w:r w:rsidRPr="00CC7DFD">
        <w:rPr>
          <w:sz w:val="24"/>
        </w:rPr>
        <w:t>střední</w:t>
      </w:r>
      <w:r w:rsidRPr="00CC7DFD">
        <w:rPr>
          <w:sz w:val="24"/>
        </w:rPr>
        <w:t xml:space="preserve"> </w:t>
      </w:r>
      <w:r w:rsidRPr="00CC7DFD">
        <w:rPr>
          <w:sz w:val="24"/>
        </w:rPr>
        <w:t>školy.</w:t>
      </w:r>
      <w:r w:rsidRPr="00CC7DFD">
        <w:rPr>
          <w:sz w:val="24"/>
        </w:rPr>
        <w:t xml:space="preserve"> </w:t>
      </w:r>
      <w:r w:rsidRPr="00CC7DFD">
        <w:rPr>
          <w:sz w:val="24"/>
        </w:rPr>
        <w:t>Žáci</w:t>
      </w:r>
      <w:r w:rsidRPr="00CC7DFD">
        <w:rPr>
          <w:sz w:val="24"/>
        </w:rPr>
        <w:t xml:space="preserve"> </w:t>
      </w:r>
      <w:r w:rsidRPr="00CC7DFD">
        <w:rPr>
          <w:sz w:val="24"/>
        </w:rPr>
        <w:t>se</w:t>
      </w:r>
      <w:r w:rsidRPr="00CC7DFD">
        <w:rPr>
          <w:sz w:val="24"/>
        </w:rPr>
        <w:t xml:space="preserve"> </w:t>
      </w:r>
      <w:r w:rsidRPr="00CC7DFD">
        <w:rPr>
          <w:sz w:val="24"/>
        </w:rPr>
        <w:t>seznámí</w:t>
      </w:r>
      <w:r w:rsidRPr="00CC7DFD">
        <w:rPr>
          <w:sz w:val="24"/>
        </w:rPr>
        <w:t xml:space="preserve"> </w:t>
      </w:r>
      <w:r w:rsidRPr="00CC7DFD">
        <w:rPr>
          <w:sz w:val="24"/>
        </w:rPr>
        <w:t>s</w:t>
      </w:r>
      <w:r w:rsidRPr="00CC7DFD">
        <w:rPr>
          <w:sz w:val="24"/>
        </w:rPr>
        <w:t xml:space="preserve"> </w:t>
      </w:r>
      <w:r w:rsidRPr="00CC7DFD">
        <w:rPr>
          <w:sz w:val="24"/>
        </w:rPr>
        <w:t>přípravou</w:t>
      </w:r>
      <w:r w:rsidRPr="00CC7DFD">
        <w:rPr>
          <w:sz w:val="24"/>
        </w:rPr>
        <w:t xml:space="preserve"> </w:t>
      </w:r>
      <w:r w:rsidRPr="00CC7DFD">
        <w:rPr>
          <w:sz w:val="24"/>
        </w:rPr>
        <w:t>biopolymeru</w:t>
      </w:r>
      <w:r>
        <w:rPr>
          <w:sz w:val="24"/>
        </w:rPr>
        <w:t> </w:t>
      </w:r>
      <w:r w:rsidRPr="00CC7DFD">
        <w:rPr>
          <w:sz w:val="24"/>
        </w:rPr>
        <w:t>–</w:t>
      </w:r>
      <w:r w:rsidRPr="00CC7DFD">
        <w:rPr>
          <w:sz w:val="24"/>
        </w:rPr>
        <w:t xml:space="preserve"> </w:t>
      </w:r>
      <w:r>
        <w:rPr>
          <w:sz w:val="24"/>
        </w:rPr>
        <w:t>škrobu,</w:t>
      </w:r>
      <w:r w:rsidRPr="00CC7DFD">
        <w:rPr>
          <w:sz w:val="24"/>
        </w:rPr>
        <w:t xml:space="preserve"> </w:t>
      </w:r>
      <w:r>
        <w:rPr>
          <w:sz w:val="24"/>
        </w:rPr>
        <w:t>zopakují</w:t>
      </w:r>
      <w:r w:rsidRPr="00CC7DFD">
        <w:rPr>
          <w:sz w:val="24"/>
        </w:rPr>
        <w:t xml:space="preserve"> </w:t>
      </w:r>
      <w:r>
        <w:rPr>
          <w:sz w:val="24"/>
        </w:rPr>
        <w:t>si</w:t>
      </w:r>
      <w:r w:rsidRPr="00CC7DFD">
        <w:rPr>
          <w:sz w:val="24"/>
        </w:rPr>
        <w:t xml:space="preserve"> </w:t>
      </w:r>
      <w:r>
        <w:rPr>
          <w:sz w:val="24"/>
        </w:rPr>
        <w:t>učivo</w:t>
      </w:r>
      <w:r w:rsidRPr="00CC7DFD">
        <w:rPr>
          <w:sz w:val="24"/>
        </w:rPr>
        <w:t xml:space="preserve"> </w:t>
      </w:r>
      <w:r>
        <w:rPr>
          <w:sz w:val="24"/>
        </w:rPr>
        <w:t>o</w:t>
      </w:r>
      <w:r w:rsidRPr="00CC7DFD">
        <w:rPr>
          <w:sz w:val="24"/>
        </w:rPr>
        <w:t xml:space="preserve"> </w:t>
      </w:r>
      <w:r>
        <w:rPr>
          <w:sz w:val="24"/>
        </w:rPr>
        <w:t>biopolymerech,</w:t>
      </w:r>
      <w:r w:rsidRPr="00CC7DFD">
        <w:rPr>
          <w:sz w:val="24"/>
        </w:rPr>
        <w:t xml:space="preserve"> </w:t>
      </w:r>
      <w:r>
        <w:rPr>
          <w:sz w:val="24"/>
        </w:rPr>
        <w:t>jejich</w:t>
      </w:r>
      <w:r w:rsidRPr="00CC7DFD">
        <w:rPr>
          <w:sz w:val="24"/>
        </w:rPr>
        <w:t xml:space="preserve"> </w:t>
      </w:r>
      <w:r>
        <w:rPr>
          <w:sz w:val="24"/>
        </w:rPr>
        <w:t>dělení</w:t>
      </w:r>
      <w:r w:rsidRPr="00CC7DFD">
        <w:rPr>
          <w:sz w:val="24"/>
        </w:rPr>
        <w:t xml:space="preserve"> </w:t>
      </w:r>
      <w:r>
        <w:rPr>
          <w:sz w:val="24"/>
        </w:rPr>
        <w:t>a</w:t>
      </w:r>
      <w:r w:rsidRPr="00CC7DFD">
        <w:rPr>
          <w:sz w:val="24"/>
        </w:rPr>
        <w:t xml:space="preserve"> </w:t>
      </w:r>
      <w:r>
        <w:rPr>
          <w:sz w:val="24"/>
        </w:rPr>
        <w:t>složení.</w:t>
      </w:r>
    </w:p>
    <w:p w:rsidR="00061EE8" w:rsidRDefault="00CC7DFD">
      <w:pPr>
        <w:pStyle w:val="Odstavecseseznamem"/>
        <w:numPr>
          <w:ilvl w:val="0"/>
          <w:numId w:val="1"/>
        </w:numPr>
        <w:tabs>
          <w:tab w:val="left" w:pos="385"/>
        </w:tabs>
        <w:spacing w:before="160"/>
        <w:rPr>
          <w:b/>
          <w:sz w:val="32"/>
        </w:rPr>
      </w:pPr>
      <w:hyperlink r:id="rId6">
        <w:r>
          <w:rPr>
            <w:b/>
            <w:color w:val="F12EA2"/>
            <w:sz w:val="32"/>
            <w:u w:val="single" w:color="F12EA2"/>
          </w:rPr>
          <w:t>Pokus:</w:t>
        </w:r>
        <w:r>
          <w:rPr>
            <w:b/>
            <w:color w:val="F12EA2"/>
            <w:spacing w:val="-8"/>
            <w:sz w:val="32"/>
            <w:u w:val="single" w:color="F12EA2"/>
          </w:rPr>
          <w:t xml:space="preserve"> </w:t>
        </w:r>
        <w:r>
          <w:rPr>
            <w:b/>
            <w:color w:val="F12EA2"/>
            <w:sz w:val="32"/>
            <w:u w:val="single" w:color="F12EA2"/>
          </w:rPr>
          <w:t>Výroba</w:t>
        </w:r>
        <w:r>
          <w:rPr>
            <w:b/>
            <w:color w:val="F12EA2"/>
            <w:spacing w:val="-7"/>
            <w:sz w:val="32"/>
            <w:u w:val="single" w:color="F12EA2"/>
          </w:rPr>
          <w:t xml:space="preserve"> </w:t>
        </w:r>
        <w:r>
          <w:rPr>
            <w:b/>
            <w:color w:val="F12EA2"/>
            <w:sz w:val="32"/>
            <w:u w:val="single" w:color="F12EA2"/>
          </w:rPr>
          <w:t>biopolymeru</w:t>
        </w:r>
      </w:hyperlink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CC7DFD">
      <w:pPr>
        <w:pStyle w:val="Zkladntext"/>
        <w:spacing w:before="2"/>
        <w:rPr>
          <w:rFonts w:ascii="Arial"/>
          <w:b/>
          <w:sz w:val="12"/>
        </w:rPr>
      </w:pPr>
      <w:r>
        <w:pict>
          <v:shape id="_x0000_s1030" style="position:absolute;margin-left:36pt;margin-top:9.45pt;width:435.8pt;height:.1pt;z-index:-15728640;mso-wrap-distance-left:0;mso-wrap-distance-right:0;mso-position-horizontal-relative:page" coordorigin="720,189" coordsize="8716,0" path="m720,189r8716,e" filled="f" strokeweight=".31114mm">
            <v:path arrowok="t"/>
            <w10:wrap type="topAndBottom" anchorx="page"/>
          </v:shape>
        </w:pict>
      </w:r>
    </w:p>
    <w:p w:rsidR="00061EE8" w:rsidRDefault="00CC7DFD">
      <w:pPr>
        <w:pStyle w:val="Odstavecseseznamem"/>
        <w:numPr>
          <w:ilvl w:val="1"/>
          <w:numId w:val="1"/>
        </w:numPr>
        <w:tabs>
          <w:tab w:val="left" w:pos="820"/>
        </w:tabs>
        <w:spacing w:before="120"/>
        <w:rPr>
          <w:b/>
          <w:sz w:val="24"/>
        </w:rPr>
      </w:pPr>
      <w:r>
        <w:rPr>
          <w:b/>
          <w:sz w:val="24"/>
        </w:rPr>
        <w:t>Po</w:t>
      </w:r>
      <w:r>
        <w:rPr>
          <w:b/>
          <w:spacing w:val="-3"/>
          <w:sz w:val="24"/>
        </w:rPr>
        <w:t xml:space="preserve"> zhlédnutí </w:t>
      </w:r>
      <w:r>
        <w:rPr>
          <w:b/>
          <w:sz w:val="24"/>
        </w:rPr>
        <w:t>videa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připravte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vlastní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biopolymer.</w:t>
      </w: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CC7DFD">
      <w:pPr>
        <w:pStyle w:val="Zkladntext"/>
        <w:spacing w:before="1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236180</wp:posOffset>
            </wp:positionV>
            <wp:extent cx="2643117" cy="16435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17" cy="164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EE8" w:rsidRDefault="00061EE8">
      <w:pPr>
        <w:pStyle w:val="Zkladntext"/>
        <w:rPr>
          <w:rFonts w:ascii="Arial"/>
          <w:b/>
          <w:sz w:val="26"/>
        </w:rPr>
      </w:pPr>
    </w:p>
    <w:p w:rsidR="00061EE8" w:rsidRDefault="00061EE8">
      <w:pPr>
        <w:pStyle w:val="Zkladntext"/>
        <w:rPr>
          <w:rFonts w:ascii="Arial"/>
          <w:b/>
          <w:sz w:val="26"/>
        </w:rPr>
      </w:pPr>
    </w:p>
    <w:p w:rsidR="00061EE8" w:rsidRDefault="00061EE8">
      <w:pPr>
        <w:pStyle w:val="Zkladntext"/>
        <w:spacing w:before="7"/>
        <w:rPr>
          <w:rFonts w:ascii="Arial"/>
          <w:b/>
          <w:sz w:val="37"/>
        </w:rPr>
      </w:pPr>
    </w:p>
    <w:p w:rsidR="00061EE8" w:rsidRDefault="00CC7DFD" w:rsidP="00CC7DFD">
      <w:pPr>
        <w:pStyle w:val="Odstavecseseznamem"/>
        <w:numPr>
          <w:ilvl w:val="1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Vysvětlete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biologická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makromolekula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biopolymer:</w:t>
      </w:r>
    </w:p>
    <w:p w:rsidR="00CC7DFD" w:rsidRDefault="00CC7DFD" w:rsidP="00CC7DFD">
      <w:pPr>
        <w:pStyle w:val="Odstavecseseznamem"/>
        <w:tabs>
          <w:tab w:val="left" w:pos="820"/>
        </w:tabs>
        <w:ind w:firstLine="0"/>
        <w:rPr>
          <w:b/>
          <w:sz w:val="24"/>
        </w:rPr>
      </w:pPr>
    </w:p>
    <w:p w:rsidR="00CC7DFD" w:rsidRPr="00CC7DFD" w:rsidRDefault="00CC7DFD" w:rsidP="00CC7DFD">
      <w:pPr>
        <w:pStyle w:val="Odstavecseseznamem"/>
        <w:tabs>
          <w:tab w:val="left" w:pos="820"/>
        </w:tabs>
        <w:spacing w:line="360" w:lineRule="auto"/>
        <w:ind w:firstLine="0"/>
        <w:rPr>
          <w:color w:val="FF0000"/>
          <w:sz w:val="24"/>
        </w:rPr>
        <w:sectPr w:rsidR="00CC7DFD" w:rsidRPr="00CC7DFD">
          <w:type w:val="continuous"/>
          <w:pgSz w:w="11920" w:h="16840"/>
          <w:pgMar w:top="740" w:right="620" w:bottom="280" w:left="620" w:header="708" w:footer="708" w:gutter="0"/>
          <w:cols w:space="708"/>
        </w:sectPr>
      </w:pPr>
      <w:r w:rsidRPr="00CC7DFD">
        <w:rPr>
          <w:color w:val="FF0000"/>
          <w:sz w:val="24"/>
        </w:rPr>
        <w:t>Biopolymer je látka vznikající v organismu. Skládá se z více stejných nebo různých nízkomolekulárních látek.</w:t>
      </w:r>
    </w:p>
    <w:p w:rsidR="00061EE8" w:rsidRDefault="00CC7DFD">
      <w:pPr>
        <w:pStyle w:val="Zkladntext"/>
        <w:ind w:left="130"/>
        <w:rPr>
          <w:sz w:val="20"/>
        </w:rPr>
      </w:pPr>
      <w:r>
        <w:lastRenderedPageBreak/>
        <w:pict>
          <v:group id="_x0000_s1026" style="position:absolute;left:0;text-align:left;margin-left:27.75pt;margin-top:742pt;width:551.25pt;height:100pt;z-index:15730176;mso-position-horizontal-relative:page;mso-position-vertical-relative:page" coordorigin="555,14840" coordsize="11025,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8" o:title=""/>
            </v:shape>
            <v:shape id="_x0000_s1027" type="#_x0000_t75" style="position:absolute;left:720;top:14840;width:10860;height:1635">
              <v:imagedata r:id="rId9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E8" w:rsidRDefault="00061EE8">
      <w:pPr>
        <w:pStyle w:val="Zkladntext"/>
        <w:rPr>
          <w:sz w:val="20"/>
        </w:rPr>
      </w:pPr>
    </w:p>
    <w:p w:rsidR="00061EE8" w:rsidRDefault="00061EE8">
      <w:pPr>
        <w:pStyle w:val="Zkladntext"/>
        <w:spacing w:before="2"/>
        <w:rPr>
          <w:sz w:val="25"/>
        </w:rPr>
      </w:pPr>
    </w:p>
    <w:p w:rsidR="00061EE8" w:rsidRDefault="00CC7DFD">
      <w:pPr>
        <w:pStyle w:val="Odstavecseseznamem"/>
        <w:numPr>
          <w:ilvl w:val="1"/>
          <w:numId w:val="1"/>
        </w:numPr>
        <w:tabs>
          <w:tab w:val="left" w:pos="820"/>
        </w:tabs>
        <w:spacing w:before="93"/>
        <w:rPr>
          <w:b/>
          <w:sz w:val="24"/>
        </w:rPr>
      </w:pPr>
      <w:r>
        <w:rPr>
          <w:b/>
          <w:sz w:val="24"/>
        </w:rPr>
        <w:t>Doplňte tabulku:</w:t>
      </w: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720"/>
        <w:gridCol w:w="3700"/>
      </w:tblGrid>
      <w:tr w:rsidR="00061EE8">
        <w:trPr>
          <w:trHeight w:val="760"/>
        </w:trPr>
        <w:tc>
          <w:tcPr>
            <w:tcW w:w="3200" w:type="dxa"/>
            <w:shd w:val="clear" w:color="auto" w:fill="F4CCCC"/>
          </w:tcPr>
          <w:p w:rsidR="00061EE8" w:rsidRDefault="00CC7D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biopolymer</w:t>
            </w:r>
          </w:p>
        </w:tc>
        <w:tc>
          <w:tcPr>
            <w:tcW w:w="2720" w:type="dxa"/>
            <w:shd w:val="clear" w:color="auto" w:fill="F4CCCC"/>
          </w:tcPr>
          <w:p w:rsidR="00061EE8" w:rsidRDefault="00CC7DFD">
            <w:pPr>
              <w:pStyle w:val="TableParagraph"/>
              <w:ind w:left="869" w:right="324" w:hanging="5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základní stavební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jednotka</w:t>
            </w:r>
          </w:p>
        </w:tc>
        <w:tc>
          <w:tcPr>
            <w:tcW w:w="3700" w:type="dxa"/>
            <w:shd w:val="clear" w:color="auto" w:fill="F4CCCC"/>
          </w:tcPr>
          <w:p w:rsidR="00061EE8" w:rsidRDefault="00CC7DFD">
            <w:pPr>
              <w:pStyle w:val="TableParagraph"/>
              <w:ind w:left="1445" w:right="415" w:hanging="9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příklad monomeru, u NK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složení</w:t>
            </w:r>
          </w:p>
        </w:tc>
      </w:tr>
      <w:tr w:rsidR="00061EE8">
        <w:trPr>
          <w:trHeight w:val="480"/>
        </w:trPr>
        <w:tc>
          <w:tcPr>
            <w:tcW w:w="3200" w:type="dxa"/>
          </w:tcPr>
          <w:p w:rsidR="00061EE8" w:rsidRDefault="00CC7DF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polysacharidy</w:t>
            </w:r>
          </w:p>
        </w:tc>
        <w:tc>
          <w:tcPr>
            <w:tcW w:w="2720" w:type="dxa"/>
          </w:tcPr>
          <w:p w:rsidR="00061EE8" w:rsidRDefault="00CC7DFD">
            <w:pPr>
              <w:pStyle w:val="TableParagraph"/>
              <w:spacing w:before="109"/>
              <w:ind w:left="588" w:right="563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monosacharid</w:t>
            </w:r>
          </w:p>
        </w:tc>
        <w:tc>
          <w:tcPr>
            <w:tcW w:w="3700" w:type="dxa"/>
          </w:tcPr>
          <w:p w:rsidR="00061EE8" w:rsidRDefault="00CC7DFD">
            <w:pPr>
              <w:pStyle w:val="TableParagraph"/>
              <w:spacing w:before="109"/>
              <w:ind w:left="358" w:right="33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FF0000"/>
                <w:sz w:val="24"/>
              </w:rPr>
              <w:t>glukóza</w:t>
            </w:r>
          </w:p>
        </w:tc>
      </w:tr>
      <w:tr w:rsidR="00061EE8">
        <w:trPr>
          <w:trHeight w:val="479"/>
        </w:trPr>
        <w:tc>
          <w:tcPr>
            <w:tcW w:w="3200" w:type="dxa"/>
          </w:tcPr>
          <w:p w:rsidR="00061EE8" w:rsidRDefault="00CC7DFD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>bílkoviny</w:t>
            </w:r>
          </w:p>
        </w:tc>
        <w:tc>
          <w:tcPr>
            <w:tcW w:w="2720" w:type="dxa"/>
          </w:tcPr>
          <w:p w:rsidR="00061EE8" w:rsidRDefault="00CC7DFD">
            <w:pPr>
              <w:pStyle w:val="TableParagraph"/>
              <w:spacing w:before="110"/>
              <w:ind w:left="587" w:right="563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aminokyseliny</w:t>
            </w:r>
          </w:p>
        </w:tc>
        <w:tc>
          <w:tcPr>
            <w:tcW w:w="3700" w:type="dxa"/>
          </w:tcPr>
          <w:p w:rsidR="00061EE8" w:rsidRDefault="00CC7DFD">
            <w:pPr>
              <w:pStyle w:val="TableParagraph"/>
              <w:spacing w:before="110"/>
              <w:ind w:left="358" w:right="334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glycin</w:t>
            </w:r>
          </w:p>
        </w:tc>
      </w:tr>
      <w:tr w:rsidR="00061EE8">
        <w:trPr>
          <w:trHeight w:val="479"/>
        </w:trPr>
        <w:tc>
          <w:tcPr>
            <w:tcW w:w="3200" w:type="dxa"/>
          </w:tcPr>
          <w:p w:rsidR="00061EE8" w:rsidRDefault="00CC7DFD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nukleové kyseliny</w:t>
            </w:r>
          </w:p>
        </w:tc>
        <w:tc>
          <w:tcPr>
            <w:tcW w:w="2720" w:type="dxa"/>
          </w:tcPr>
          <w:p w:rsidR="00061EE8" w:rsidRDefault="00CC7DFD">
            <w:pPr>
              <w:pStyle w:val="TableParagraph"/>
              <w:spacing w:before="111"/>
              <w:ind w:left="587" w:right="563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nukleotid</w:t>
            </w:r>
          </w:p>
        </w:tc>
        <w:tc>
          <w:tcPr>
            <w:tcW w:w="3700" w:type="dxa"/>
          </w:tcPr>
          <w:p w:rsidR="00061EE8" w:rsidRDefault="00CC7DFD">
            <w:pPr>
              <w:pStyle w:val="TableParagraph"/>
              <w:spacing w:before="111"/>
              <w:ind w:left="358" w:right="33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FF0000"/>
                <w:sz w:val="24"/>
              </w:rPr>
              <w:t>cukr,</w:t>
            </w:r>
            <w:r>
              <w:rPr>
                <w:rFonts w:ascii="Arial MT" w:hAnsi="Arial MT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FF0000"/>
                <w:sz w:val="24"/>
              </w:rPr>
              <w:t>dusíkatá</w:t>
            </w:r>
            <w:r>
              <w:rPr>
                <w:rFonts w:ascii="Arial MT" w:hAnsi="Arial MT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FF0000"/>
                <w:sz w:val="24"/>
              </w:rPr>
              <w:t>báze,</w:t>
            </w:r>
            <w:r>
              <w:rPr>
                <w:rFonts w:ascii="Arial MT" w:hAnsi="Arial MT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FF0000"/>
                <w:sz w:val="24"/>
              </w:rPr>
              <w:t>fosfát</w:t>
            </w:r>
          </w:p>
        </w:tc>
      </w:tr>
      <w:tr w:rsidR="00061EE8">
        <w:trPr>
          <w:trHeight w:val="480"/>
        </w:trPr>
        <w:tc>
          <w:tcPr>
            <w:tcW w:w="3200" w:type="dxa"/>
          </w:tcPr>
          <w:p w:rsidR="00061EE8" w:rsidRDefault="00CC7D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polyterpeny</w:t>
            </w:r>
          </w:p>
        </w:tc>
        <w:tc>
          <w:tcPr>
            <w:tcW w:w="2720" w:type="dxa"/>
          </w:tcPr>
          <w:p w:rsidR="00061EE8" w:rsidRDefault="00CC7DFD">
            <w:pPr>
              <w:pStyle w:val="TableParagraph"/>
              <w:ind w:left="588" w:right="563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izopren</w:t>
            </w:r>
          </w:p>
        </w:tc>
        <w:tc>
          <w:tcPr>
            <w:tcW w:w="3700" w:type="dxa"/>
          </w:tcPr>
          <w:p w:rsidR="00061EE8" w:rsidRDefault="00CC7DFD">
            <w:pPr>
              <w:pStyle w:val="TableParagraph"/>
              <w:ind w:left="358" w:right="334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 xml:space="preserve">2 - </w:t>
            </w:r>
            <w:proofErr w:type="spellStart"/>
            <w:proofErr w:type="gramStart"/>
            <w:r>
              <w:rPr>
                <w:rFonts w:ascii="Arial MT"/>
                <w:color w:val="FF0000"/>
                <w:sz w:val="24"/>
              </w:rPr>
              <w:t>methyl</w:t>
            </w:r>
            <w:proofErr w:type="spellEnd"/>
            <w:r>
              <w:rPr>
                <w:rFonts w:ascii="Arial MT"/>
                <w:color w:val="FF0000"/>
                <w:sz w:val="24"/>
              </w:rPr>
              <w:t xml:space="preserve"> - </w:t>
            </w:r>
            <w:proofErr w:type="spellStart"/>
            <w:r>
              <w:rPr>
                <w:rFonts w:ascii="Arial MT"/>
                <w:color w:val="FF0000"/>
                <w:sz w:val="24"/>
              </w:rPr>
              <w:t>buta</w:t>
            </w:r>
            <w:proofErr w:type="spellEnd"/>
            <w:proofErr w:type="gramEnd"/>
            <w:r>
              <w:rPr>
                <w:rFonts w:ascii="Arial MT"/>
                <w:color w:val="FF0000"/>
                <w:sz w:val="24"/>
              </w:rPr>
              <w:t xml:space="preserve"> - 1,3 - dien</w:t>
            </w:r>
          </w:p>
        </w:tc>
      </w:tr>
    </w:tbl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rPr>
          <w:rFonts w:ascii="Arial"/>
          <w:b/>
          <w:sz w:val="20"/>
        </w:rPr>
      </w:pPr>
    </w:p>
    <w:p w:rsidR="00061EE8" w:rsidRDefault="00061EE8">
      <w:pPr>
        <w:pStyle w:val="Zkladntext"/>
        <w:spacing w:before="6"/>
        <w:rPr>
          <w:rFonts w:ascii="Arial"/>
          <w:b/>
          <w:sz w:val="28"/>
        </w:rPr>
      </w:pPr>
    </w:p>
    <w:p w:rsidR="00061EE8" w:rsidRDefault="00CC7DFD">
      <w:pPr>
        <w:pStyle w:val="Odstavecseseznamem"/>
        <w:numPr>
          <w:ilvl w:val="1"/>
          <w:numId w:val="1"/>
        </w:numPr>
        <w:tabs>
          <w:tab w:val="left" w:pos="820"/>
        </w:tabs>
        <w:spacing w:before="92"/>
        <w:rPr>
          <w:b/>
          <w:sz w:val="24"/>
        </w:rPr>
      </w:pPr>
      <w:r>
        <w:rPr>
          <w:b/>
          <w:sz w:val="24"/>
        </w:rPr>
        <w:t>Vysvětlete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pojmy:</w:t>
      </w:r>
    </w:p>
    <w:p w:rsidR="00061EE8" w:rsidRPr="00CC7DFD" w:rsidRDefault="00CC7DFD">
      <w:pPr>
        <w:pStyle w:val="Zkladntext"/>
        <w:tabs>
          <w:tab w:val="left" w:pos="2979"/>
        </w:tabs>
        <w:spacing w:before="160"/>
        <w:ind w:left="820"/>
        <w:rPr>
          <w:rFonts w:ascii="Arial" w:eastAsia="Arial" w:hAnsi="Arial" w:cs="Arial"/>
          <w:color w:val="FF0000"/>
          <w:sz w:val="20"/>
        </w:rPr>
      </w:pPr>
      <w:r w:rsidRPr="00CC7DFD">
        <w:rPr>
          <w:rFonts w:ascii="Arial" w:eastAsia="Arial" w:hAnsi="Arial" w:cs="Arial"/>
          <w:color w:val="FF0000"/>
          <w:sz w:val="20"/>
        </w:rPr>
        <w:t>polymerační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stupeň</w:t>
      </w:r>
      <w:r w:rsidRPr="00CC7DFD">
        <w:rPr>
          <w:rFonts w:ascii="Arial" w:eastAsia="Arial" w:hAnsi="Arial" w:cs="Arial"/>
          <w:color w:val="FF0000"/>
          <w:sz w:val="20"/>
        </w:rPr>
        <w:tab/>
      </w:r>
      <w:r w:rsidRPr="00CC7DFD">
        <w:rPr>
          <w:rFonts w:ascii="Arial" w:eastAsia="Arial" w:hAnsi="Arial" w:cs="Arial"/>
          <w:color w:val="FF0000"/>
          <w:sz w:val="20"/>
        </w:rPr>
        <w:t>počet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opakujících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se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monomerních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jednotek</w:t>
      </w:r>
    </w:p>
    <w:p w:rsidR="00061EE8" w:rsidRPr="00CC7DFD" w:rsidRDefault="00061EE8">
      <w:pPr>
        <w:pStyle w:val="Zkladntext"/>
        <w:rPr>
          <w:rFonts w:ascii="Arial" w:eastAsia="Arial" w:hAnsi="Arial" w:cs="Arial"/>
          <w:color w:val="FF0000"/>
          <w:sz w:val="20"/>
        </w:rPr>
      </w:pPr>
    </w:p>
    <w:p w:rsidR="00CC7DFD" w:rsidRPr="00CC7DFD" w:rsidRDefault="00CC7DFD">
      <w:pPr>
        <w:pStyle w:val="Zkladntext"/>
        <w:tabs>
          <w:tab w:val="left" w:pos="2979"/>
        </w:tabs>
        <w:spacing w:line="480" w:lineRule="auto"/>
        <w:ind w:left="820" w:right="1746"/>
        <w:rPr>
          <w:rFonts w:ascii="Arial" w:eastAsia="Arial" w:hAnsi="Arial" w:cs="Arial"/>
          <w:color w:val="FF0000"/>
          <w:sz w:val="20"/>
        </w:rPr>
      </w:pPr>
      <w:r w:rsidRPr="00CC7DFD">
        <w:rPr>
          <w:rFonts w:ascii="Arial" w:eastAsia="Arial" w:hAnsi="Arial" w:cs="Arial"/>
          <w:color w:val="FF0000"/>
          <w:sz w:val="20"/>
        </w:rPr>
        <w:t>kopolymer</w:t>
      </w:r>
      <w:r w:rsidRPr="00CC7DFD">
        <w:rPr>
          <w:rFonts w:ascii="Arial" w:eastAsia="Arial" w:hAnsi="Arial" w:cs="Arial"/>
          <w:color w:val="FF0000"/>
          <w:sz w:val="20"/>
        </w:rPr>
        <w:tab/>
      </w:r>
      <w:r w:rsidRPr="00CC7DFD">
        <w:rPr>
          <w:rFonts w:ascii="Arial" w:eastAsia="Arial" w:hAnsi="Arial" w:cs="Arial"/>
          <w:color w:val="FF0000"/>
          <w:sz w:val="20"/>
        </w:rPr>
        <w:t>makromolekula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se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skládá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nejméně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ze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dvou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druhů monome</w:t>
      </w:r>
      <w:bookmarkStart w:id="0" w:name="_GoBack"/>
      <w:bookmarkEnd w:id="0"/>
      <w:r w:rsidRPr="00CC7DFD">
        <w:rPr>
          <w:rFonts w:ascii="Arial" w:eastAsia="Arial" w:hAnsi="Arial" w:cs="Arial"/>
          <w:color w:val="FF0000"/>
          <w:sz w:val="20"/>
        </w:rPr>
        <w:t>ru</w:t>
      </w:r>
    </w:p>
    <w:p w:rsidR="00061EE8" w:rsidRPr="00CC7DFD" w:rsidRDefault="00CC7DFD">
      <w:pPr>
        <w:pStyle w:val="Zkladntext"/>
        <w:tabs>
          <w:tab w:val="left" w:pos="2979"/>
        </w:tabs>
        <w:spacing w:line="480" w:lineRule="auto"/>
        <w:ind w:left="820" w:right="1746"/>
        <w:rPr>
          <w:rFonts w:ascii="Arial" w:eastAsia="Arial" w:hAnsi="Arial" w:cs="Arial"/>
          <w:color w:val="FF0000"/>
          <w:sz w:val="20"/>
        </w:rPr>
      </w:pPr>
      <w:r w:rsidRPr="00CC7DFD">
        <w:rPr>
          <w:rFonts w:ascii="Arial" w:eastAsia="Arial" w:hAnsi="Arial" w:cs="Arial"/>
          <w:color w:val="FF0000"/>
          <w:sz w:val="20"/>
        </w:rPr>
        <w:t>homopolymer</w:t>
      </w:r>
      <w:r w:rsidRPr="00CC7DFD">
        <w:rPr>
          <w:rFonts w:ascii="Arial" w:eastAsia="Arial" w:hAnsi="Arial" w:cs="Arial"/>
          <w:color w:val="FF0000"/>
          <w:sz w:val="20"/>
        </w:rPr>
        <w:tab/>
      </w:r>
      <w:r w:rsidRPr="00CC7DFD">
        <w:rPr>
          <w:rFonts w:ascii="Arial" w:eastAsia="Arial" w:hAnsi="Arial" w:cs="Arial"/>
          <w:color w:val="FF0000"/>
          <w:sz w:val="20"/>
        </w:rPr>
        <w:t>makromolekula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se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skládá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ze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stejných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druhů</w:t>
      </w:r>
      <w:r w:rsidRPr="00CC7DFD">
        <w:rPr>
          <w:rFonts w:ascii="Arial" w:eastAsia="Arial" w:hAnsi="Arial" w:cs="Arial"/>
          <w:color w:val="FF0000"/>
          <w:sz w:val="20"/>
        </w:rPr>
        <w:t xml:space="preserve"> </w:t>
      </w:r>
      <w:r w:rsidRPr="00CC7DFD">
        <w:rPr>
          <w:rFonts w:ascii="Arial" w:eastAsia="Arial" w:hAnsi="Arial" w:cs="Arial"/>
          <w:color w:val="FF0000"/>
          <w:sz w:val="20"/>
        </w:rPr>
        <w:t>monomeru</w:t>
      </w:r>
    </w:p>
    <w:p w:rsidR="00061EE8" w:rsidRDefault="00061EE8">
      <w:pPr>
        <w:pStyle w:val="Zkladntext"/>
        <w:rPr>
          <w:sz w:val="24"/>
        </w:rPr>
      </w:pPr>
    </w:p>
    <w:p w:rsidR="00061EE8" w:rsidRDefault="00061EE8">
      <w:pPr>
        <w:pStyle w:val="Zkladntext"/>
        <w:rPr>
          <w:sz w:val="24"/>
        </w:rPr>
      </w:pPr>
    </w:p>
    <w:p w:rsidR="00061EE8" w:rsidRDefault="00061EE8">
      <w:pPr>
        <w:pStyle w:val="Zkladntext"/>
        <w:spacing w:before="9"/>
        <w:rPr>
          <w:sz w:val="23"/>
        </w:rPr>
      </w:pPr>
    </w:p>
    <w:p w:rsidR="00061EE8" w:rsidRDefault="00CC7DFD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061EE8" w:rsidRDefault="00CC7DFD">
      <w:pPr>
        <w:pStyle w:val="Nadpis1"/>
        <w:spacing w:before="186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061EE8" w:rsidRDefault="00061EE8">
      <w:pPr>
        <w:pStyle w:val="Zkladntext"/>
        <w:rPr>
          <w:rFonts w:ascii="Arial"/>
          <w:b/>
        </w:rPr>
      </w:pPr>
    </w:p>
    <w:p w:rsidR="00061EE8" w:rsidRDefault="00CC7DFD">
      <w:pPr>
        <w:ind w:left="385"/>
        <w:rPr>
          <w:rFonts w:ascii="Arial" w:hAnsi="Arial"/>
          <w:b/>
        </w:rPr>
      </w:pPr>
      <w:r>
        <w:rPr>
          <w:rFonts w:ascii="Arial" w:hAnsi="Arial"/>
          <w:b/>
          <w:color w:val="33BEF1"/>
        </w:rPr>
        <w:t>………………………………………………………………………………………………………………………</w:t>
      </w:r>
    </w:p>
    <w:p w:rsidR="00061EE8" w:rsidRDefault="00061EE8">
      <w:pPr>
        <w:pStyle w:val="Zkladntext"/>
        <w:rPr>
          <w:rFonts w:ascii="Arial"/>
          <w:b/>
        </w:rPr>
      </w:pPr>
    </w:p>
    <w:p w:rsidR="00061EE8" w:rsidRDefault="00CC7DFD">
      <w:pPr>
        <w:pStyle w:val="Nadpis1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061EE8">
      <w:pgSz w:w="11920" w:h="16840"/>
      <w:pgMar w:top="1040" w:right="62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917"/>
    <w:multiLevelType w:val="hybridMultilevel"/>
    <w:tmpl w:val="979A8F6A"/>
    <w:lvl w:ilvl="0" w:tplc="44B6623E">
      <w:numFmt w:val="bullet"/>
      <w:lvlText w:val="●"/>
      <w:lvlJc w:val="left"/>
      <w:pPr>
        <w:ind w:left="385" w:hanging="285"/>
      </w:pPr>
      <w:rPr>
        <w:rFonts w:ascii="Arial" w:eastAsia="Arial" w:hAnsi="Arial" w:cs="Arial" w:hint="default"/>
        <w:b/>
        <w:bCs/>
        <w:color w:val="F12EA2"/>
        <w:w w:val="100"/>
        <w:sz w:val="32"/>
        <w:szCs w:val="32"/>
        <w:lang w:val="cs-CZ" w:eastAsia="en-US" w:bidi="ar-SA"/>
      </w:rPr>
    </w:lvl>
    <w:lvl w:ilvl="1" w:tplc="45CC06C0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6C149B46">
      <w:numFmt w:val="bullet"/>
      <w:lvlText w:val="•"/>
      <w:lvlJc w:val="left"/>
      <w:pPr>
        <w:ind w:left="1915" w:hanging="360"/>
      </w:pPr>
      <w:rPr>
        <w:rFonts w:hint="default"/>
        <w:lang w:val="cs-CZ" w:eastAsia="en-US" w:bidi="ar-SA"/>
      </w:rPr>
    </w:lvl>
    <w:lvl w:ilvl="3" w:tplc="64F0DA4A">
      <w:numFmt w:val="bullet"/>
      <w:lvlText w:val="•"/>
      <w:lvlJc w:val="left"/>
      <w:pPr>
        <w:ind w:left="3011" w:hanging="360"/>
      </w:pPr>
      <w:rPr>
        <w:rFonts w:hint="default"/>
        <w:lang w:val="cs-CZ" w:eastAsia="en-US" w:bidi="ar-SA"/>
      </w:rPr>
    </w:lvl>
    <w:lvl w:ilvl="4" w:tplc="F9A0F6F2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492C8574">
      <w:numFmt w:val="bullet"/>
      <w:lvlText w:val="•"/>
      <w:lvlJc w:val="left"/>
      <w:pPr>
        <w:ind w:left="5202" w:hanging="360"/>
      </w:pPr>
      <w:rPr>
        <w:rFonts w:hint="default"/>
        <w:lang w:val="cs-CZ" w:eastAsia="en-US" w:bidi="ar-SA"/>
      </w:rPr>
    </w:lvl>
    <w:lvl w:ilvl="6" w:tplc="4288C07C">
      <w:numFmt w:val="bullet"/>
      <w:lvlText w:val="•"/>
      <w:lvlJc w:val="left"/>
      <w:pPr>
        <w:ind w:left="6297" w:hanging="360"/>
      </w:pPr>
      <w:rPr>
        <w:rFonts w:hint="default"/>
        <w:lang w:val="cs-CZ" w:eastAsia="en-US" w:bidi="ar-SA"/>
      </w:rPr>
    </w:lvl>
    <w:lvl w:ilvl="7" w:tplc="ED625E12">
      <w:numFmt w:val="bullet"/>
      <w:lvlText w:val="•"/>
      <w:lvlJc w:val="left"/>
      <w:pPr>
        <w:ind w:left="7393" w:hanging="360"/>
      </w:pPr>
      <w:rPr>
        <w:rFonts w:hint="default"/>
        <w:lang w:val="cs-CZ" w:eastAsia="en-US" w:bidi="ar-SA"/>
      </w:rPr>
    </w:lvl>
    <w:lvl w:ilvl="8" w:tplc="429AA196">
      <w:numFmt w:val="bullet"/>
      <w:lvlText w:val="•"/>
      <w:lvlJc w:val="left"/>
      <w:pPr>
        <w:ind w:left="848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EE8"/>
    <w:rsid w:val="00061EE8"/>
    <w:rsid w:val="00C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F59AC7"/>
  <w15:docId w15:val="{589BF3F4-2139-4B39-8775-943E903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385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6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before="112"/>
      <w:ind w:left="552" w:right="532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6084-pokus-vyroba-biopolymeru?vsrc=predmet&amp;vsrcid=chemie%7Estredni-sko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EDU_pracovní_list_chemie_řešení_výroba biopolymeru.docx</dc:title>
  <cp:lastModifiedBy>Čtvrtečková Lenka</cp:lastModifiedBy>
  <cp:revision>2</cp:revision>
  <dcterms:created xsi:type="dcterms:W3CDTF">2023-03-16T14:48:00Z</dcterms:created>
  <dcterms:modified xsi:type="dcterms:W3CDTF">2023-03-17T11:49:00Z</dcterms:modified>
</cp:coreProperties>
</file>