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21" w:rsidRDefault="006B7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B7821" w:rsidRDefault="006B7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B7821" w:rsidRDefault="00040A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Sklo – řešení</w:t>
      </w:r>
    </w:p>
    <w:p w:rsidR="006B7821" w:rsidRDefault="00040AAF">
      <w:pPr>
        <w:rPr>
          <w:rFonts w:ascii="Arial" w:eastAsia="Arial" w:hAnsi="Arial" w:cs="Arial"/>
          <w:b/>
          <w:sz w:val="44"/>
          <w:szCs w:val="44"/>
        </w:rPr>
        <w:sectPr w:rsidR="006B7821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základní školy, je možné jej využít i na střední škole. Žáci si zopakují vlastnosti skla, jeho druhy a použití.</w:t>
      </w:r>
    </w:p>
    <w:p w:rsidR="006B7821" w:rsidRDefault="00040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6B782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 se sklem</w:t>
        </w:r>
      </w:hyperlink>
    </w:p>
    <w:p w:rsidR="006B7821" w:rsidRDefault="00040AA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6B782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6B7821" w:rsidRDefault="00040A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6B7821" w:rsidRDefault="00040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 je to „kapka prince </w:t>
      </w:r>
      <w:proofErr w:type="spellStart"/>
      <w:r>
        <w:rPr>
          <w:rFonts w:ascii="Arial" w:eastAsia="Arial" w:hAnsi="Arial" w:cs="Arial"/>
          <w:sz w:val="24"/>
          <w:szCs w:val="24"/>
        </w:rPr>
        <w:t>Ruprechta</w:t>
      </w:r>
      <w:proofErr w:type="spellEnd"/>
      <w:r>
        <w:rPr>
          <w:rFonts w:ascii="Arial" w:eastAsia="Arial" w:hAnsi="Arial" w:cs="Arial"/>
          <w:sz w:val="24"/>
          <w:szCs w:val="24"/>
        </w:rPr>
        <w:t>“?</w:t>
      </w:r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6B7821" w:rsidRDefault="00040A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krvavá slza</w:t>
      </w:r>
    </w:p>
    <w:p w:rsidR="006B7821" w:rsidRDefault="00040A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nový vzácný nerost</w:t>
      </w:r>
    </w:p>
    <w:p w:rsidR="006B7821" w:rsidRDefault="00040A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kapka skla</w:t>
      </w:r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6B7821" w:rsidRDefault="00040A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Vysvětlete, co to je „kapka prince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Ruprechta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“?</w:t>
      </w:r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6B7821" w:rsidRDefault="00040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3660875" cy="1386776"/>
            <wp:effectExtent l="0" t="0" r="0" b="0"/>
            <wp:docPr id="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875" cy="1386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6B7821" w:rsidRDefault="00040AAF" w:rsidP="00871E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  <w:shd w:val="clear" w:color="auto" w:fill="F5F5F5"/>
        </w:rPr>
      </w:pPr>
      <w:r w:rsidRPr="00871ED7">
        <w:rPr>
          <w:rFonts w:ascii="Arial" w:eastAsia="Arial" w:hAnsi="Arial" w:cs="Arial"/>
          <w:color w:val="FF0000"/>
          <w:sz w:val="24"/>
          <w:szCs w:val="24"/>
          <w:shd w:val="clear" w:color="auto" w:fill="F5F5F5"/>
        </w:rPr>
        <w:t>Pokud roztavené sklo kápneme do studené vody, jeho povrch se prudce ochladí, i když střed zůstává déle tekutý a má tendenci se smršťovat. Ale kapka se už nemůže zmenšit, protože ji drží vnější skořápka zchladlého skla. Výsledkem je obrovské vnitřní napětí.</w:t>
      </w:r>
      <w:r w:rsidRPr="00871ED7">
        <w:rPr>
          <w:rFonts w:ascii="Arial" w:eastAsia="Arial" w:hAnsi="Arial" w:cs="Arial"/>
          <w:color w:val="FF0000"/>
          <w:sz w:val="24"/>
          <w:szCs w:val="24"/>
          <w:shd w:val="clear" w:color="auto" w:fill="F5F5F5"/>
        </w:rPr>
        <w:t xml:space="preserve"> Pokud se kousek rozbije, uvolní se tolik energie, aby se rozbila i další část.</w:t>
      </w:r>
      <w:r>
        <w:br w:type="page"/>
      </w:r>
    </w:p>
    <w:p w:rsidR="006B7821" w:rsidRDefault="00040A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Odpovězte na otázky.</w:t>
      </w:r>
    </w:p>
    <w:p w:rsidR="006B7821" w:rsidRDefault="00040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 je to sklo?</w:t>
      </w:r>
    </w:p>
    <w:p w:rsidR="006B7821" w:rsidRDefault="00040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 se vyrábí sklo?</w:t>
      </w:r>
    </w:p>
    <w:p w:rsidR="006B7821" w:rsidRDefault="00040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Jaký vzorec má oxid křemičitý?</w:t>
      </w:r>
    </w:p>
    <w:p w:rsidR="006B7821" w:rsidRDefault="00040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Sklo je homogenní, amorfní (tj. nekrystalická) pevná látka, která se vyznačuje tvrdostí, křehkostí a průhledností.</w:t>
      </w:r>
    </w:p>
    <w:p w:rsidR="006B7821" w:rsidRDefault="00040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Hlavní složkou skla je oxid křemičitý (SiO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) a vyrábí se tavením křemičitého sklářského písku s přísadou </w:t>
      </w:r>
      <w:hyperlink r:id="rId13">
        <w:r>
          <w:rPr>
            <w:rFonts w:ascii="Arial" w:eastAsia="Arial" w:hAnsi="Arial" w:cs="Arial"/>
            <w:color w:val="FF0000"/>
            <w:sz w:val="24"/>
            <w:szCs w:val="24"/>
            <w:highlight w:val="white"/>
          </w:rPr>
          <w:t>uhličitanu draselného</w:t>
        </w:r>
      </w:hyperlink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(potaše) a následným poměrně rychlým ochlazením taveniny, která tak nestačí vytvořit krystalovou mřížku. </w:t>
      </w:r>
    </w:p>
    <w:p w:rsidR="006B7821" w:rsidRPr="00871ED7" w:rsidRDefault="00040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SiO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</w:p>
    <w:p w:rsidR="00871ED7" w:rsidRDefault="00871ED7" w:rsidP="00871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1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:rsidR="006B7821" w:rsidRDefault="00040AAF">
      <w:pPr>
        <w:numPr>
          <w:ilvl w:val="0"/>
          <w:numId w:val="3"/>
        </w:numPr>
        <w:spacing w:line="480" w:lineRule="auto"/>
        <w:ind w:right="-1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Vyjmenujte nejdůležitější druhy křemičitého skl</w:t>
      </w:r>
      <w:r>
        <w:rPr>
          <w:rFonts w:ascii="Arial" w:eastAsia="Arial" w:hAnsi="Arial" w:cs="Arial"/>
          <w:b/>
          <w:sz w:val="24"/>
          <w:szCs w:val="24"/>
        </w:rPr>
        <w:t>a.</w:t>
      </w:r>
    </w:p>
    <w:p w:rsidR="006B7821" w:rsidRDefault="00040AAF">
      <w:pPr>
        <w:numPr>
          <w:ilvl w:val="0"/>
          <w:numId w:val="4"/>
        </w:numPr>
        <w:spacing w:after="0" w:line="240" w:lineRule="auto"/>
        <w:ind w:right="-1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křemenné</w:t>
      </w:r>
    </w:p>
    <w:p w:rsidR="006B7821" w:rsidRDefault="00040AAF">
      <w:pPr>
        <w:numPr>
          <w:ilvl w:val="0"/>
          <w:numId w:val="4"/>
        </w:numPr>
        <w:spacing w:after="0" w:line="240" w:lineRule="auto"/>
        <w:ind w:right="-1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sodnovápenaté</w:t>
      </w:r>
    </w:p>
    <w:p w:rsidR="006B7821" w:rsidRDefault="00040AAF">
      <w:pPr>
        <w:numPr>
          <w:ilvl w:val="0"/>
          <w:numId w:val="4"/>
        </w:numPr>
        <w:spacing w:after="0" w:line="240" w:lineRule="auto"/>
        <w:ind w:right="-1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obalové</w:t>
      </w:r>
    </w:p>
    <w:p w:rsidR="006B7821" w:rsidRDefault="00040AAF">
      <w:pPr>
        <w:numPr>
          <w:ilvl w:val="0"/>
          <w:numId w:val="4"/>
        </w:numPr>
        <w:spacing w:after="0" w:line="240" w:lineRule="auto"/>
        <w:ind w:right="-1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borosilikátové</w:t>
      </w:r>
    </w:p>
    <w:p w:rsidR="006B7821" w:rsidRDefault="00040AAF">
      <w:pPr>
        <w:numPr>
          <w:ilvl w:val="0"/>
          <w:numId w:val="4"/>
        </w:numPr>
        <w:spacing w:after="0" w:line="240" w:lineRule="auto"/>
        <w:ind w:right="-1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olovnaté</w:t>
      </w:r>
    </w:p>
    <w:p w:rsidR="006B7821" w:rsidRDefault="00040AAF">
      <w:pPr>
        <w:numPr>
          <w:ilvl w:val="0"/>
          <w:numId w:val="4"/>
        </w:numPr>
        <w:spacing w:line="240" w:lineRule="auto"/>
        <w:ind w:right="-11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hliníko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-křemičité</w:t>
      </w:r>
    </w:p>
    <w:p w:rsidR="006B7821" w:rsidRDefault="006B7821">
      <w:pPr>
        <w:spacing w:line="240" w:lineRule="auto"/>
        <w:ind w:left="720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6B7821" w:rsidRDefault="00040AAF">
      <w:pPr>
        <w:numPr>
          <w:ilvl w:val="0"/>
          <w:numId w:val="3"/>
        </w:numPr>
        <w:spacing w:line="240" w:lineRule="auto"/>
        <w:ind w:right="-11"/>
        <w:jc w:val="both"/>
        <w:rPr>
          <w:rFonts w:ascii="Arial" w:eastAsia="Arial" w:hAnsi="Arial" w:cs="Arial"/>
          <w:b/>
          <w:sz w:val="24"/>
          <w:szCs w:val="24"/>
        </w:rPr>
        <w:sectPr w:rsidR="006B782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Z jakého skla je vyrobený předmět na obrázku. Popište vlastnosti tohoto skla a jeho složení.</w:t>
      </w:r>
    </w:p>
    <w:p w:rsidR="006B7821" w:rsidRDefault="006B7821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6B7821" w:rsidRDefault="00040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594434" cy="2125912"/>
            <wp:effectExtent l="0" t="0" r="0" b="0"/>
            <wp:docPr id="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34" cy="2125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821" w:rsidRDefault="00040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Soubor:Waterford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Crystal</w:t>
      </w:r>
      <w:proofErr w:type="spell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ryté sklo.JPG. (28. června 2022).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Převzato 17:06, 10. ledna 2023 z </w:t>
      </w:r>
      <w:hyperlink r:id="rId15"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</w:t>
        </w:r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:Waterford_Crystal_engraved_glass.JPG&amp;oldid=669292668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</w:p>
    <w:p w:rsidR="006B7821" w:rsidRDefault="00040AAF">
      <w:pPr>
        <w:spacing w:line="240" w:lineRule="auto"/>
        <w:ind w:right="-11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  <w:sectPr w:rsidR="006B782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Na obrázku je předmět vyrobený z křišťálového skla. Jde o olovnaté sklo, olovnatý křišťál. Má vysoký index lomu světla, pohlcuje rentgenové záření. Obsahuje 18 až 35 % oxidu olovnatého</w:t>
      </w:r>
      <w:r w:rsidR="009F4988">
        <w:rPr>
          <w:rFonts w:ascii="Arial" w:eastAsia="Arial" w:hAnsi="Arial" w:cs="Arial"/>
          <w:color w:val="FF0000"/>
          <w:sz w:val="24"/>
          <w:szCs w:val="24"/>
          <w:highlight w:val="white"/>
        </w:rPr>
        <w:t>.</w:t>
      </w:r>
      <w:bookmarkStart w:id="0" w:name="_GoBack"/>
      <w:bookmarkEnd w:id="0"/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</w:pPr>
    </w:p>
    <w:p w:rsidR="006B7821" w:rsidRDefault="00040A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6B782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6B7821" w:rsidRDefault="00040AA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6B782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6B7821" w:rsidRDefault="006B7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6B7821" w:rsidRDefault="00040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4577185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821" w:rsidRDefault="00040A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6B7821" w:rsidRDefault="006B782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6" o:spid="_x0000_s1026" style="position:absolute;margin-left:-13.5pt;margin-top:360.4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er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" filled="f" stroked="f">
                <v:textbox inset="2.53958mm,1.2694mm,2.53958mm,1.2694mm">
                  <w:txbxContent>
                    <w:p w:rsidR="006B7821" w:rsidRDefault="00040AA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6B7821" w:rsidRDefault="006B782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B782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AF" w:rsidRDefault="00040AAF">
      <w:pPr>
        <w:spacing w:after="0" w:line="240" w:lineRule="auto"/>
      </w:pPr>
      <w:r>
        <w:separator/>
      </w:r>
    </w:p>
  </w:endnote>
  <w:endnote w:type="continuationSeparator" w:id="0">
    <w:p w:rsidR="00040AAF" w:rsidRDefault="0004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21" w:rsidRDefault="006B78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6B7821">
      <w:tc>
        <w:tcPr>
          <w:tcW w:w="3485" w:type="dxa"/>
        </w:tcPr>
        <w:p w:rsidR="006B7821" w:rsidRDefault="006B78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6B7821" w:rsidRDefault="006B78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6B7821" w:rsidRDefault="006B78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6B7821" w:rsidRDefault="00040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AF" w:rsidRDefault="00040AAF">
      <w:pPr>
        <w:spacing w:after="0" w:line="240" w:lineRule="auto"/>
      </w:pPr>
      <w:r>
        <w:separator/>
      </w:r>
    </w:p>
  </w:footnote>
  <w:footnote w:type="continuationSeparator" w:id="0">
    <w:p w:rsidR="00040AAF" w:rsidRDefault="0004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21" w:rsidRDefault="006B78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6B7821">
      <w:trPr>
        <w:trHeight w:val="1278"/>
      </w:trPr>
      <w:tc>
        <w:tcPr>
          <w:tcW w:w="10455" w:type="dxa"/>
        </w:tcPr>
        <w:p w:rsidR="006B7821" w:rsidRDefault="00040A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B7821" w:rsidRDefault="006B7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21" w:rsidRDefault="00040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2A8"/>
    <w:multiLevelType w:val="multilevel"/>
    <w:tmpl w:val="B50867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280232"/>
    <w:multiLevelType w:val="multilevel"/>
    <w:tmpl w:val="F402AD5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F358F2"/>
    <w:multiLevelType w:val="multilevel"/>
    <w:tmpl w:val="FAEA914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332023"/>
    <w:multiLevelType w:val="multilevel"/>
    <w:tmpl w:val="378E8B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C1728E6"/>
    <w:multiLevelType w:val="multilevel"/>
    <w:tmpl w:val="56CA1A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D956E87"/>
    <w:multiLevelType w:val="multilevel"/>
    <w:tmpl w:val="FB7099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21"/>
    <w:rsid w:val="00040AAF"/>
    <w:rsid w:val="006B7821"/>
    <w:rsid w:val="00871ED7"/>
    <w:rsid w:val="009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0372"/>
  <w15:docId w15:val="{3698881F-3161-4A26-A9D3-F6652B40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wikipedia.org/wiki/Uhli%C4%8Ditan_draseln%C3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391-pokus-se-sklem?vsrc=predmet&amp;vsrcid=chemie%7Estredni-s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Waterford_Crystal_engraved_glass.JPG&amp;oldid=669292668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cAcj6rz7hIVwTp7zcC1tBYlA9Q==">AMUW2mWYK6PGl3xZDBM9flteQHocGiVD+HKejVNHE8+cFLoFohsfEhupH4G2ZXq9PO2WsMO7q9wsF/XigWM3BdfKo0PMR63SZJLkNlJhTSBCSUPa9BpJ/N0=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2021-08-03T09:29:00Z</dcterms:created>
  <dcterms:modified xsi:type="dcterms:W3CDTF">2023-05-16T13:55:00Z</dcterms:modified>
</cp:coreProperties>
</file>