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C5" w:rsidRDefault="00AE2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E2EC5" w:rsidRDefault="002413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AE2EC5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Reakce cukru s kyselinou sírovou – řešení</w:t>
      </w:r>
    </w:p>
    <w:p w:rsidR="00AE2EC5" w:rsidRDefault="002413B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základních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 xml:space="preserve">vlastnostmi kyseliny sírové a reakcí kyseliny sírové s cukrem. </w:t>
      </w:r>
    </w:p>
    <w:p w:rsidR="00AE2EC5" w:rsidRDefault="002413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Reakce cukru s kyselinou sírovou</w:t>
        </w:r>
      </w:hyperlink>
      <w:r>
        <w:fldChar w:fldCharType="begin"/>
      </w:r>
      <w:r>
        <w:instrText xml:space="preserve"> HYPERLINK "https://edu.ceskatelevize.cz/</w:instrText>
      </w:r>
      <w:r>
        <w:instrText xml:space="preserve">video/35-pokus-hydrostaticky-tlak-a-paradox?vsrc=predmet&amp;vsrcid=fyzika" </w:instrText>
      </w:r>
      <w:r>
        <w:fldChar w:fldCharType="separate"/>
      </w:r>
    </w:p>
    <w:p w:rsidR="00AE2EC5" w:rsidRDefault="002413BD">
      <w:pPr>
        <w:rPr>
          <w:rFonts w:ascii="Arial" w:eastAsia="Arial" w:hAnsi="Arial" w:cs="Arial"/>
          <w:b/>
          <w:color w:val="000000"/>
          <w:sz w:val="24"/>
          <w:szCs w:val="24"/>
        </w:rPr>
        <w:sectPr w:rsidR="00AE2EC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AE2EC5" w:rsidRDefault="0024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sectPr w:rsidR="00AE2EC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Napište vzorec kyseliny sírové</w:t>
      </w:r>
      <w:r w:rsidR="004C2132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color w:val="FF3399"/>
          <w:sz w:val="24"/>
          <w:szCs w:val="24"/>
        </w:rPr>
        <w:t>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>SO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4</w:t>
      </w:r>
    </w:p>
    <w:p w:rsidR="00AE2EC5" w:rsidRDefault="0024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Jaké oxidační číslo má síra v kyselině sírové? </w:t>
      </w:r>
      <w:r>
        <w:rPr>
          <w:rFonts w:ascii="Arial" w:eastAsia="Arial" w:hAnsi="Arial" w:cs="Arial"/>
          <w:color w:val="FF3399"/>
          <w:sz w:val="24"/>
          <w:szCs w:val="24"/>
        </w:rPr>
        <w:t>+VI</w:t>
      </w:r>
    </w:p>
    <w:p w:rsidR="00AE2EC5" w:rsidRDefault="002413B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Co je produktem reakce cukru s kyselinou sírovou?</w:t>
      </w:r>
    </w:p>
    <w:p w:rsidR="00AE2EC5" w:rsidRDefault="002413BD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síran uhličitý</w:t>
      </w:r>
    </w:p>
    <w:p w:rsidR="00AE2EC5" w:rsidRDefault="002413BD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uhlík</w:t>
      </w:r>
    </w:p>
    <w:p w:rsidR="00AE2EC5" w:rsidRDefault="002413BD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síra</w:t>
      </w:r>
    </w:p>
    <w:p w:rsidR="00AE2EC5" w:rsidRDefault="002413BD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 uhličitý</w:t>
      </w:r>
    </w:p>
    <w:p w:rsidR="00AE2EC5" w:rsidRDefault="00AE2EC5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E2EC5" w:rsidRDefault="002413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</w:pPr>
      <w:r>
        <w:rPr>
          <w:rFonts w:ascii="Arial" w:eastAsia="Arial" w:hAnsi="Arial" w:cs="Arial"/>
          <w:b/>
          <w:sz w:val="24"/>
          <w:szCs w:val="24"/>
        </w:rPr>
        <w:t>Vyberte správnou nabídku:</w:t>
      </w:r>
    </w:p>
    <w:p w:rsidR="00AE2EC5" w:rsidRDefault="002413B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Kyselina sírová je </w:t>
      </w:r>
      <w:r>
        <w:rPr>
          <w:rFonts w:ascii="Arial" w:eastAsia="Arial" w:hAnsi="Arial" w:cs="Arial"/>
          <w:b/>
          <w:color w:val="FF3399"/>
          <w:sz w:val="24"/>
          <w:szCs w:val="24"/>
        </w:rPr>
        <w:t>kyslíkatá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strike/>
          <w:sz w:val="24"/>
          <w:szCs w:val="24"/>
        </w:rPr>
        <w:t>bezkyslíkatá</w:t>
      </w:r>
      <w:r>
        <w:rPr>
          <w:rFonts w:ascii="Arial" w:eastAsia="Arial" w:hAnsi="Arial" w:cs="Arial"/>
          <w:sz w:val="24"/>
          <w:szCs w:val="24"/>
        </w:rPr>
        <w:t xml:space="preserve"> kyselina.</w:t>
      </w:r>
    </w:p>
    <w:p w:rsidR="00AE2EC5" w:rsidRDefault="002413B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Kyselina sírová je </w:t>
      </w:r>
      <w:r>
        <w:rPr>
          <w:rFonts w:ascii="Arial" w:eastAsia="Arial" w:hAnsi="Arial" w:cs="Arial"/>
          <w:b/>
          <w:strike/>
          <w:sz w:val="24"/>
          <w:szCs w:val="24"/>
        </w:rPr>
        <w:t>slabá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silná</w:t>
      </w:r>
      <w:r>
        <w:rPr>
          <w:rFonts w:ascii="Arial" w:eastAsia="Arial" w:hAnsi="Arial" w:cs="Arial"/>
          <w:sz w:val="24"/>
          <w:szCs w:val="24"/>
        </w:rPr>
        <w:t xml:space="preserve"> kyselina.</w:t>
      </w:r>
    </w:p>
    <w:p w:rsidR="00AE2EC5" w:rsidRDefault="002413B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Kyselina sírová je </w:t>
      </w:r>
      <w:r>
        <w:rPr>
          <w:rFonts w:ascii="Arial" w:eastAsia="Arial" w:hAnsi="Arial" w:cs="Arial"/>
          <w:b/>
          <w:strike/>
          <w:sz w:val="24"/>
          <w:szCs w:val="24"/>
        </w:rPr>
        <w:t>jednosytná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dvojsytná</w:t>
      </w:r>
      <w:r>
        <w:rPr>
          <w:rFonts w:ascii="Arial" w:eastAsia="Arial" w:hAnsi="Arial" w:cs="Arial"/>
          <w:sz w:val="24"/>
          <w:szCs w:val="24"/>
        </w:rPr>
        <w:t xml:space="preserve"> kyselina.</w:t>
      </w:r>
    </w:p>
    <w:p w:rsidR="00AE2EC5" w:rsidRDefault="002413BD">
      <w:pPr>
        <w:spacing w:before="120" w:line="240" w:lineRule="auto"/>
        <w:ind w:left="72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Kyselina sírová má </w:t>
      </w:r>
      <w:r>
        <w:rPr>
          <w:rFonts w:ascii="Arial" w:eastAsia="Arial" w:hAnsi="Arial" w:cs="Arial"/>
          <w:b/>
          <w:strike/>
          <w:sz w:val="24"/>
          <w:szCs w:val="24"/>
        </w:rPr>
        <w:t>hydratační</w:t>
      </w:r>
      <w:r>
        <w:rPr>
          <w:rFonts w:ascii="Arial" w:eastAsia="Arial" w:hAnsi="Arial" w:cs="Arial"/>
          <w:b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color w:val="FF3399"/>
          <w:sz w:val="24"/>
          <w:szCs w:val="24"/>
        </w:rPr>
        <w:t>dehydratační</w:t>
      </w:r>
      <w:r>
        <w:rPr>
          <w:rFonts w:ascii="Arial" w:eastAsia="Arial" w:hAnsi="Arial" w:cs="Arial"/>
          <w:sz w:val="24"/>
          <w:szCs w:val="24"/>
        </w:rPr>
        <w:t xml:space="preserve"> účinky.</w:t>
      </w:r>
    </w:p>
    <w:p w:rsidR="00AE2EC5" w:rsidRDefault="00AE2EC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403"/>
        <w:rPr>
          <w:rFonts w:ascii="Arial" w:eastAsia="Arial" w:hAnsi="Arial" w:cs="Arial"/>
          <w:sz w:val="24"/>
          <w:szCs w:val="24"/>
        </w:rPr>
      </w:pPr>
    </w:p>
    <w:p w:rsidR="00AE2EC5" w:rsidRDefault="002413BD">
      <w:pPr>
        <w:numPr>
          <w:ilvl w:val="0"/>
          <w:numId w:val="1"/>
        </w:numPr>
        <w:spacing w:after="120" w:line="36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Vysvětlete pojem dehydratační účinek.</w:t>
      </w:r>
    </w:p>
    <w:p w:rsidR="00AE2EC5" w:rsidRDefault="002413BD" w:rsidP="00966F15">
      <w:pPr>
        <w:spacing w:line="480" w:lineRule="auto"/>
        <w:ind w:left="714" w:right="-11" w:firstLine="6"/>
        <w:jc w:val="both"/>
        <w:rPr>
          <w:rFonts w:ascii="Arial" w:eastAsia="Arial" w:hAnsi="Arial" w:cs="Arial"/>
          <w:color w:val="FF3399"/>
          <w:sz w:val="28"/>
          <w:szCs w:val="28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Dehydratační účinek znamená, že látka má schopnost vyvázat molekulu vody z jiné látky, </w:t>
      </w:r>
      <w:bookmarkStart w:id="0" w:name="_GoBack"/>
      <w:bookmarkEnd w:id="0"/>
      <w:r>
        <w:rPr>
          <w:rFonts w:ascii="Arial" w:eastAsia="Arial" w:hAnsi="Arial" w:cs="Arial"/>
          <w:color w:val="FF3399"/>
          <w:sz w:val="24"/>
          <w:szCs w:val="24"/>
        </w:rPr>
        <w:t>t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akže odnímá látkám vodu. </w:t>
      </w:r>
    </w:p>
    <w:p w:rsidR="00AE2EC5" w:rsidRDefault="00AE2EC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right="403"/>
        <w:rPr>
          <w:rFonts w:ascii="Arial" w:eastAsia="Arial" w:hAnsi="Arial" w:cs="Arial"/>
          <w:color w:val="33BEF2"/>
        </w:rPr>
      </w:pPr>
    </w:p>
    <w:p w:rsidR="00AE2EC5" w:rsidRDefault="002413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>
        <w:br w:type="page"/>
      </w:r>
    </w:p>
    <w:p w:rsidR="00AE2EC5" w:rsidRDefault="002413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E2EC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AE2EC5" w:rsidRDefault="002413B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E2EC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EC5" w:rsidRDefault="00AE2E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2EC5" w:rsidRDefault="002413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6027420</wp:posOffset>
                </wp:positionV>
                <wp:extent cx="6932295" cy="1078230"/>
                <wp:effectExtent l="0" t="0" r="0" b="0"/>
                <wp:wrapSquare wrapText="bothSides" distT="45720" distB="45720" distL="114300" distR="114300"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2EC5" w:rsidRDefault="002413B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E2EC5" w:rsidRDefault="00AE2EC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0" o:spid="_x0000_s1026" style="position:absolute;margin-left:-8pt;margin-top:474.6pt;width:545.85pt;height:84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" filled="f" stroked="f">
                <v:textbox inset="2.53958mm,1.2694mm,2.53958mm,1.2694mm">
                  <w:txbxContent>
                    <w:p w:rsidR="00AE2EC5" w:rsidRDefault="002413B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E2EC5" w:rsidRDefault="00AE2EC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E2EC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BD" w:rsidRDefault="002413BD">
      <w:pPr>
        <w:spacing w:after="0" w:line="240" w:lineRule="auto"/>
      </w:pPr>
      <w:r>
        <w:separator/>
      </w:r>
    </w:p>
  </w:endnote>
  <w:endnote w:type="continuationSeparator" w:id="0">
    <w:p w:rsidR="002413BD" w:rsidRDefault="002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C5" w:rsidRDefault="00AE2EC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d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E2EC5">
      <w:tc>
        <w:tcPr>
          <w:tcW w:w="3485" w:type="dxa"/>
        </w:tcPr>
        <w:p w:rsidR="00AE2EC5" w:rsidRDefault="00AE2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E2EC5" w:rsidRDefault="00AE2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E2EC5" w:rsidRDefault="00AE2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E2EC5" w:rsidRDefault="00241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-103509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BD" w:rsidRDefault="002413BD">
      <w:pPr>
        <w:spacing w:after="0" w:line="240" w:lineRule="auto"/>
      </w:pPr>
      <w:r>
        <w:separator/>
      </w:r>
    </w:p>
  </w:footnote>
  <w:footnote w:type="continuationSeparator" w:id="0">
    <w:p w:rsidR="002413BD" w:rsidRDefault="002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C5" w:rsidRDefault="00AE2EC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c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E2EC5">
      <w:trPr>
        <w:trHeight w:val="1278"/>
      </w:trPr>
      <w:tc>
        <w:tcPr>
          <w:tcW w:w="10455" w:type="dxa"/>
        </w:tcPr>
        <w:p w:rsidR="00AE2EC5" w:rsidRDefault="002413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E2EC5" w:rsidRDefault="00AE2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EC5" w:rsidRDefault="002413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AE8"/>
    <w:multiLevelType w:val="multilevel"/>
    <w:tmpl w:val="3096690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AC5FED"/>
    <w:multiLevelType w:val="multilevel"/>
    <w:tmpl w:val="BA68A7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5C64"/>
    <w:multiLevelType w:val="multilevel"/>
    <w:tmpl w:val="7DF4867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C5"/>
    <w:rsid w:val="002413BD"/>
    <w:rsid w:val="004C2132"/>
    <w:rsid w:val="00966F15"/>
    <w:rsid w:val="00A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732"/>
  <w15:docId w15:val="{3566C453-01A7-48D3-84C3-4737E0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02-reakce-cukru-s-kyselinou-sirovou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UlOjd4rrDPA+NVqcipecY47Y2Q==">AMUW2mXazVuOLZdRdQXrd8NKOIMaJdb3vV2DN+cvkL9yYKmhBhv4qwBTo/t2ccU38areTO3g+N/M83vtGZV/CcfTHfKFPhRAt4Be9diiMoxycXbl9U0Xff4=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2023-05-24T14:13:00Z</dcterms:modified>
</cp:coreProperties>
</file>