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6B9" w:rsidRDefault="00F136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F136B9" w:rsidRDefault="001A00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F136B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849" w:bottom="720" w:left="720" w:header="708" w:footer="708" w:gutter="0"/>
          <w:pgNumType w:start="1"/>
          <w:cols w:space="708"/>
        </w:sectPr>
      </w:pPr>
      <w:r>
        <w:rPr>
          <w:rFonts w:ascii="Arial" w:eastAsia="Arial" w:hAnsi="Arial" w:cs="Arial"/>
          <w:b/>
          <w:sz w:val="44"/>
          <w:szCs w:val="44"/>
        </w:rPr>
        <w:t>Proudění a objemový průtok – řešení</w:t>
      </w:r>
    </w:p>
    <w:p w:rsidR="00F136B9" w:rsidRDefault="001A00DB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>středních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škol a jeho cílem je seznámit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s </w:t>
      </w:r>
      <w:r>
        <w:rPr>
          <w:rFonts w:ascii="Arial" w:eastAsia="Arial" w:hAnsi="Arial" w:cs="Arial"/>
          <w:sz w:val="24"/>
          <w:szCs w:val="24"/>
        </w:rPr>
        <w:t>prouděním a</w:t>
      </w:r>
      <w:r w:rsidR="0019567C">
        <w:rPr>
          <w:rFonts w:ascii="Arial" w:eastAsia="Arial" w:hAnsi="Arial" w:cs="Arial"/>
          <w:sz w:val="24"/>
          <w:szCs w:val="24"/>
        </w:rPr>
        <w:t> 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objemovým průtokem.</w:t>
      </w:r>
    </w:p>
    <w:p w:rsidR="00F136B9" w:rsidRDefault="001A00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2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Objemový průtok</w:t>
        </w:r>
      </w:hyperlink>
      <w:r>
        <w:fldChar w:fldCharType="begin"/>
      </w:r>
      <w:r>
        <w:instrText xml:space="preserve"> HYPERLINK "https://edu.ceskatelevize.cz/video/444-3-newtonuv-zakon?vsrc=predmet&amp;vsrcid=fyzika" </w:instrText>
      </w:r>
      <w:r>
        <w:fldChar w:fldCharType="separate"/>
      </w:r>
    </w:p>
    <w:p w:rsidR="00F136B9" w:rsidRDefault="001A00DB">
      <w:pPr>
        <w:sectPr w:rsidR="00F136B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F136B9" w:rsidRDefault="001A00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Označte správné tvrzení:</w:t>
      </w:r>
    </w:p>
    <w:p w:rsidR="00F136B9" w:rsidRDefault="001A00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FF3399"/>
          <w:sz w:val="24"/>
          <w:szCs w:val="24"/>
        </w:rPr>
      </w:pPr>
      <w:bookmarkStart w:id="1" w:name="_heading=h.tmgbfcinmhhx" w:colFirst="0" w:colLast="0"/>
      <w:bookmarkEnd w:id="1"/>
      <w:r>
        <w:rPr>
          <w:rFonts w:ascii="Arial" w:eastAsia="Arial" w:hAnsi="Arial" w:cs="Arial"/>
          <w:color w:val="FF3399"/>
          <w:sz w:val="24"/>
          <w:szCs w:val="24"/>
        </w:rPr>
        <w:t>Tekutiny je souhrnné označení pro kapaliny a plyny.</w:t>
      </w:r>
    </w:p>
    <w:p w:rsidR="00F136B9" w:rsidRDefault="001A00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bookmarkStart w:id="2" w:name="_heading=h.gq9r1meab47m" w:colFirst="0" w:colLast="0"/>
      <w:bookmarkEnd w:id="2"/>
      <w:r>
        <w:rPr>
          <w:rFonts w:ascii="Arial" w:eastAsia="Arial" w:hAnsi="Arial" w:cs="Arial"/>
          <w:sz w:val="24"/>
          <w:szCs w:val="24"/>
        </w:rPr>
        <w:t>Tekutiny je označení pro kapaliny.</w:t>
      </w:r>
    </w:p>
    <w:p w:rsidR="00F136B9" w:rsidRDefault="001A00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bookmarkStart w:id="3" w:name="_heading=h.tx2rigot14zv" w:colFirst="0" w:colLast="0"/>
      <w:bookmarkEnd w:id="3"/>
      <w:r>
        <w:rPr>
          <w:rFonts w:ascii="Arial" w:eastAsia="Arial" w:hAnsi="Arial" w:cs="Arial"/>
          <w:sz w:val="24"/>
          <w:szCs w:val="24"/>
        </w:rPr>
        <w:t xml:space="preserve">Tekutiny je označení pro plyny. </w:t>
      </w:r>
    </w:p>
    <w:p w:rsidR="00F136B9" w:rsidRDefault="001A00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Co je to proudění?</w:t>
      </w:r>
    </w:p>
    <w:p w:rsidR="00F136B9" w:rsidRDefault="001A00DB">
      <w:pPr>
        <w:spacing w:line="480" w:lineRule="auto"/>
        <w:ind w:left="284" w:right="-11" w:firstLine="436"/>
        <w:jc w:val="both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Proudění tekutiny je pohyb tekutiny v jednom směru.</w:t>
      </w:r>
    </w:p>
    <w:p w:rsidR="00F136B9" w:rsidRDefault="001A00DB">
      <w:pPr>
        <w:numPr>
          <w:ilvl w:val="0"/>
          <w:numId w:val="1"/>
        </w:numPr>
        <w:spacing w:after="120" w:line="48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Doplňte chybějící slova:</w:t>
      </w:r>
    </w:p>
    <w:p w:rsidR="00F136B9" w:rsidRDefault="001A00DB">
      <w:pPr>
        <w:spacing w:after="120" w:line="480" w:lineRule="auto"/>
        <w:ind w:left="720"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Pohyb jednotlivých částic proudící tekutiny popisujeme pomocí tzv. </w:t>
      </w:r>
      <w:r>
        <w:rPr>
          <w:rFonts w:ascii="Arial" w:eastAsia="Arial" w:hAnsi="Arial" w:cs="Arial"/>
          <w:color w:val="FF3399"/>
          <w:sz w:val="24"/>
          <w:szCs w:val="24"/>
        </w:rPr>
        <w:t>proudnic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F136B9" w:rsidRDefault="001A00DB">
      <w:pPr>
        <w:spacing w:after="120" w:line="480" w:lineRule="auto"/>
        <w:ind w:left="720" w:right="403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sz w:val="24"/>
          <w:szCs w:val="24"/>
        </w:rPr>
        <w:t xml:space="preserve">To jsou </w:t>
      </w:r>
      <w:r>
        <w:rPr>
          <w:rFonts w:ascii="Arial" w:eastAsia="Arial" w:hAnsi="Arial" w:cs="Arial"/>
          <w:color w:val="FF3399"/>
          <w:sz w:val="24"/>
          <w:szCs w:val="24"/>
        </w:rPr>
        <w:t>myšlené</w:t>
      </w:r>
      <w:r>
        <w:rPr>
          <w:rFonts w:ascii="Arial" w:eastAsia="Arial" w:hAnsi="Arial" w:cs="Arial"/>
          <w:sz w:val="24"/>
          <w:szCs w:val="24"/>
        </w:rPr>
        <w:t xml:space="preserve"> čáry, které v kapalinách a plynech nejsou </w:t>
      </w:r>
      <w:r>
        <w:rPr>
          <w:rFonts w:ascii="Arial" w:eastAsia="Arial" w:hAnsi="Arial" w:cs="Arial"/>
          <w:color w:val="FF3399"/>
          <w:sz w:val="24"/>
          <w:szCs w:val="24"/>
        </w:rPr>
        <w:t>vidět</w:t>
      </w:r>
      <w:r>
        <w:rPr>
          <w:rFonts w:ascii="Arial" w:eastAsia="Arial" w:hAnsi="Arial" w:cs="Arial"/>
          <w:sz w:val="24"/>
          <w:szCs w:val="24"/>
        </w:rPr>
        <w:t>.</w:t>
      </w:r>
    </w:p>
    <w:p w:rsidR="00F136B9" w:rsidRDefault="001A00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Jak dlouho musíme čerpat vodu z hadi</w:t>
      </w:r>
      <w:r>
        <w:rPr>
          <w:rFonts w:ascii="Arial" w:eastAsia="Arial" w:hAnsi="Arial" w:cs="Arial"/>
          <w:b/>
          <w:sz w:val="24"/>
          <w:szCs w:val="24"/>
        </w:rPr>
        <w:t>ce, která má průtok 0,6 l/s, jestliže chceme načerpat 30 litrů vody?</w:t>
      </w:r>
    </w:p>
    <w:p w:rsidR="00F136B9" w:rsidRDefault="001A00DB">
      <w:pPr>
        <w:spacing w:line="480" w:lineRule="auto"/>
        <w:ind w:left="284" w:right="-11" w:firstLine="436"/>
        <w:jc w:val="both"/>
        <w:rPr>
          <w:rFonts w:ascii="Arial" w:eastAsia="Arial" w:hAnsi="Arial" w:cs="Arial"/>
          <w:color w:val="FF3399"/>
          <w:sz w:val="28"/>
          <w:szCs w:val="28"/>
        </w:rPr>
      </w:pPr>
      <m:oMathPara>
        <m:oMath>
          <m:r>
            <w:rPr>
              <w:rFonts w:ascii="Arial" w:eastAsia="Arial" w:hAnsi="Arial" w:cs="Arial"/>
              <w:color w:val="FF3399"/>
              <w:sz w:val="28"/>
              <w:szCs w:val="28"/>
            </w:rPr>
            <m:t>Q</m:t>
          </m:r>
          <m:r>
            <w:rPr>
              <w:rFonts w:ascii="Arial" w:eastAsia="Arial" w:hAnsi="Arial" w:cs="Arial"/>
              <w:color w:val="FF3399"/>
              <w:sz w:val="28"/>
              <w:szCs w:val="28"/>
            </w:rPr>
            <m:t>=</m:t>
          </m:r>
          <m:f>
            <m:fPr>
              <m:ctrlPr>
                <w:rPr>
                  <w:rFonts w:ascii="Arial" w:eastAsia="Arial" w:hAnsi="Arial" w:cs="Arial"/>
                  <w:color w:val="FF3399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color w:val="FF3399"/>
                  <w:sz w:val="28"/>
                  <w:szCs w:val="28"/>
                </w:rPr>
                <m:t>V</m:t>
              </m:r>
            </m:num>
            <m:den>
              <m:r>
                <w:rPr>
                  <w:rFonts w:ascii="Arial" w:eastAsia="Arial" w:hAnsi="Arial" w:cs="Arial"/>
                  <w:color w:val="FF3399"/>
                  <w:sz w:val="28"/>
                  <w:szCs w:val="28"/>
                </w:rPr>
                <m:t>t</m:t>
              </m:r>
            </m:den>
          </m:f>
        </m:oMath>
      </m:oMathPara>
    </w:p>
    <w:p w:rsidR="00F136B9" w:rsidRDefault="001A00DB">
      <w:pPr>
        <w:spacing w:line="480" w:lineRule="auto"/>
        <w:ind w:left="284" w:right="-11" w:firstLine="436"/>
        <w:jc w:val="both"/>
        <w:rPr>
          <w:rFonts w:ascii="Arial" w:eastAsia="Arial" w:hAnsi="Arial" w:cs="Arial"/>
          <w:color w:val="FF3399"/>
          <w:sz w:val="28"/>
          <w:szCs w:val="28"/>
        </w:rPr>
      </w:pPr>
      <m:oMathPara>
        <m:oMath>
          <m:r>
            <w:rPr>
              <w:rFonts w:ascii="Arial" w:eastAsia="Arial" w:hAnsi="Arial" w:cs="Arial"/>
              <w:color w:val="FF3399"/>
              <w:sz w:val="28"/>
              <w:szCs w:val="28"/>
            </w:rPr>
            <m:t>t</m:t>
          </m:r>
          <m:r>
            <w:rPr>
              <w:rFonts w:ascii="Arial" w:eastAsia="Arial" w:hAnsi="Arial" w:cs="Arial"/>
              <w:color w:val="FF3399"/>
              <w:sz w:val="28"/>
              <w:szCs w:val="28"/>
            </w:rPr>
            <m:t>=</m:t>
          </m:r>
          <m:f>
            <m:fPr>
              <m:ctrlPr>
                <w:rPr>
                  <w:rFonts w:ascii="Arial" w:eastAsia="Arial" w:hAnsi="Arial" w:cs="Arial"/>
                  <w:color w:val="FF3399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color w:val="FF3399"/>
                  <w:sz w:val="28"/>
                  <w:szCs w:val="28"/>
                </w:rPr>
                <m:t>V</m:t>
              </m:r>
            </m:num>
            <m:den>
              <m:r>
                <w:rPr>
                  <w:rFonts w:ascii="Arial" w:eastAsia="Arial" w:hAnsi="Arial" w:cs="Arial"/>
                  <w:color w:val="FF3399"/>
                  <w:sz w:val="28"/>
                  <w:szCs w:val="28"/>
                </w:rPr>
                <m:t>Q</m:t>
              </m:r>
            </m:den>
          </m:f>
          <m:r>
            <w:rPr>
              <w:rFonts w:ascii="Arial" w:eastAsia="Arial" w:hAnsi="Arial" w:cs="Arial"/>
              <w:color w:val="FF3399"/>
              <w:sz w:val="28"/>
              <w:szCs w:val="28"/>
            </w:rPr>
            <m:t>=</m:t>
          </m:r>
          <m:f>
            <m:fPr>
              <m:ctrlPr>
                <w:rPr>
                  <w:rFonts w:ascii="Arial" w:eastAsia="Arial" w:hAnsi="Arial" w:cs="Arial"/>
                  <w:color w:val="FF3399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color w:val="FF3399"/>
                  <w:sz w:val="28"/>
                  <w:szCs w:val="28"/>
                </w:rPr>
                <m:t>30</m:t>
              </m:r>
            </m:num>
            <m:den>
              <m:r>
                <w:rPr>
                  <w:rFonts w:ascii="Arial" w:eastAsia="Arial" w:hAnsi="Arial" w:cs="Arial"/>
                  <w:color w:val="FF3399"/>
                  <w:sz w:val="28"/>
                  <w:szCs w:val="28"/>
                </w:rPr>
                <m:t>0,6</m:t>
              </m:r>
            </m:den>
          </m:f>
          <m:r>
            <w:rPr>
              <w:rFonts w:ascii="Arial" w:eastAsia="Arial" w:hAnsi="Arial" w:cs="Arial"/>
              <w:color w:val="FF3399"/>
              <w:sz w:val="28"/>
              <w:szCs w:val="28"/>
            </w:rPr>
            <m:t xml:space="preserve"> </m:t>
          </m:r>
          <m:r>
            <w:rPr>
              <w:rFonts w:ascii="Arial" w:eastAsia="Arial" w:hAnsi="Arial" w:cs="Arial"/>
              <w:color w:val="FF3399"/>
              <w:sz w:val="28"/>
              <w:szCs w:val="28"/>
            </w:rPr>
            <m:t>s</m:t>
          </m:r>
          <m:r>
            <w:rPr>
              <w:rFonts w:ascii="Arial" w:eastAsia="Arial" w:hAnsi="Arial" w:cs="Arial"/>
              <w:color w:val="FF3399"/>
              <w:sz w:val="28"/>
              <w:szCs w:val="28"/>
            </w:rPr>
            <m:t xml:space="preserve"> =50 </m:t>
          </m:r>
          <m:r>
            <w:rPr>
              <w:rFonts w:ascii="Arial" w:eastAsia="Arial" w:hAnsi="Arial" w:cs="Arial"/>
              <w:color w:val="FF3399"/>
              <w:sz w:val="28"/>
              <w:szCs w:val="28"/>
            </w:rPr>
            <m:t>s</m:t>
          </m:r>
        </m:oMath>
      </m:oMathPara>
    </w:p>
    <w:p w:rsidR="00F136B9" w:rsidRDefault="001A00DB">
      <w:pPr>
        <w:spacing w:line="480" w:lineRule="auto"/>
        <w:ind w:left="284" w:right="-11" w:firstLine="43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 xml:space="preserve">Vodu musíme čerpat 50 s. </w:t>
      </w:r>
      <w:r>
        <w:br w:type="page"/>
      </w:r>
    </w:p>
    <w:p w:rsidR="00F136B9" w:rsidRDefault="001A00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F136B9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F136B9" w:rsidRDefault="001A00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F136B9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6B9" w:rsidRDefault="00F136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36B9" w:rsidRDefault="001A00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5786120</wp:posOffset>
                </wp:positionV>
                <wp:extent cx="6913245" cy="1059180"/>
                <wp:effectExtent l="0" t="0" r="0" b="0"/>
                <wp:wrapSquare wrapText="bothSides" distT="45720" distB="45720" distL="114300" distR="114300"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36B9" w:rsidRDefault="001A00D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</w:t>
                            </w:r>
                            <w:r>
                              <w:rPr>
                                <w:color w:val="000000"/>
                              </w:rPr>
                              <w:t xml:space="preserve">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F136B9" w:rsidRDefault="00F136B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3" o:spid="_x0000_s1026" style="position:absolute;margin-left:-13pt;margin-top:455.6pt;width:544.35pt;height:83.4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" filled="f" stroked="f">
                <v:textbox inset="2.53958mm,1.2694mm,2.53958mm,1.2694mm">
                  <w:txbxContent>
                    <w:p w:rsidR="00F136B9" w:rsidRDefault="001A00D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</w:t>
                      </w:r>
                      <w:r>
                        <w:rPr>
                          <w:color w:val="000000"/>
                        </w:rPr>
                        <w:t xml:space="preserve">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F136B9" w:rsidRDefault="00F136B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F136B9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0DB" w:rsidRDefault="001A00DB">
      <w:pPr>
        <w:spacing w:after="0" w:line="240" w:lineRule="auto"/>
      </w:pPr>
      <w:r>
        <w:separator/>
      </w:r>
    </w:p>
  </w:endnote>
  <w:endnote w:type="continuationSeparator" w:id="0">
    <w:p w:rsidR="001A00DB" w:rsidRDefault="001A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6B9" w:rsidRDefault="00F136B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6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F136B9">
      <w:tc>
        <w:tcPr>
          <w:tcW w:w="3485" w:type="dxa"/>
        </w:tcPr>
        <w:p w:rsidR="00F136B9" w:rsidRDefault="00F136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F136B9" w:rsidRDefault="00F136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F136B9" w:rsidRDefault="00F136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F136B9" w:rsidRDefault="001A00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-103512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6B9" w:rsidRDefault="00F136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0DB" w:rsidRDefault="001A00DB">
      <w:pPr>
        <w:spacing w:after="0" w:line="240" w:lineRule="auto"/>
      </w:pPr>
      <w:r>
        <w:separator/>
      </w:r>
    </w:p>
  </w:footnote>
  <w:footnote w:type="continuationSeparator" w:id="0">
    <w:p w:rsidR="001A00DB" w:rsidRDefault="001A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6B9" w:rsidRDefault="00F136B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5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F136B9">
      <w:trPr>
        <w:trHeight w:val="1278"/>
      </w:trPr>
      <w:tc>
        <w:tcPr>
          <w:tcW w:w="10455" w:type="dxa"/>
        </w:tcPr>
        <w:p w:rsidR="00F136B9" w:rsidRDefault="001A00DB">
          <w:pP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6486525" cy="1003300"/>
                <wp:effectExtent l="0" t="0" r="0" b="0"/>
                <wp:docPr id="4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6525" cy="1003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136B9" w:rsidRDefault="00F136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6B9" w:rsidRDefault="001A00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9A8"/>
    <w:multiLevelType w:val="multilevel"/>
    <w:tmpl w:val="FC1663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63C57"/>
    <w:multiLevelType w:val="multilevel"/>
    <w:tmpl w:val="489633C8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696E7627"/>
    <w:multiLevelType w:val="multilevel"/>
    <w:tmpl w:val="FBC4121A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B9"/>
    <w:rsid w:val="0019567C"/>
    <w:rsid w:val="001A00DB"/>
    <w:rsid w:val="00F1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CB7A"/>
  <w15:docId w15:val="{37575256-DECF-4EE2-AF69-AE0EC4D2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6932-pokus-objemovy-prutok?vsrc=predmet&amp;vsrcid=fyz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AW/dFCcdjGX71SfqRextHYUxww==">AMUW2mXvJ+n5db2KMmCRHDLgTVXdtKAsEfZe7Jzm7i+o1w8Rb+VF0WMSLX7x7S47p2i+fCk+nz6Lb2b4B4aBSb4hvCN0LSZsMqIlBgzsNC78/pMOnnYbBxffRbNLGfVO/OLtLJkVQAYUX0gP0HHieVVXWY6EZpX6CCAnJIS8+bway5Q8QOF3J9k=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2021-10-07T18:41:00Z</dcterms:created>
  <dcterms:modified xsi:type="dcterms:W3CDTF">2023-05-24T14:02:00Z</dcterms:modified>
</cp:coreProperties>
</file>