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51C0C" w:rsidRDefault="00A51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A51C0C" w:rsidRDefault="00A51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Polysacharidy – řešení</w:t>
      </w:r>
    </w:p>
    <w:p w14:paraId="00000004" w14:textId="69CCC4D2" w:rsidR="00A51C0C" w:rsidRDefault="006151C9">
      <w:pPr>
        <w:rPr>
          <w:rFonts w:ascii="Arial" w:eastAsia="Arial" w:hAnsi="Arial" w:cs="Arial"/>
          <w:b/>
          <w:sz w:val="44"/>
          <w:szCs w:val="44"/>
        </w:rPr>
        <w:sectPr w:rsidR="00A51C0C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</w:t>
      </w:r>
      <w:sdt>
        <w:sdtPr>
          <w:tag w:val="goog_rdk_0"/>
          <w:id w:val="926994646"/>
        </w:sdtPr>
        <w:sdtEndPr/>
        <w:sdtContent/>
      </w:sdt>
      <w:sdt>
        <w:sdtPr>
          <w:tag w:val="goog_rdk_1"/>
          <w:id w:val="458695897"/>
        </w:sdtPr>
        <w:sdtEndPr/>
        <w:sdtContent/>
      </w:sdt>
      <w:r>
        <w:rPr>
          <w:rFonts w:ascii="Arial" w:eastAsia="Arial" w:hAnsi="Arial" w:cs="Arial"/>
          <w:color w:val="00000A"/>
          <w:sz w:val="24"/>
          <w:szCs w:val="24"/>
        </w:rPr>
        <w:t>pro žáky základní i střední školy</w:t>
      </w:r>
      <w:r>
        <w:rPr>
          <w:rFonts w:ascii="Arial" w:eastAsia="Arial" w:hAnsi="Arial" w:cs="Arial"/>
          <w:color w:val="00000A"/>
          <w:sz w:val="24"/>
          <w:szCs w:val="24"/>
        </w:rPr>
        <w:t>. Žáci si zopakují základní znalosti o</w:t>
      </w:r>
      <w:r w:rsidR="00676BBE">
        <w:rPr>
          <w:rFonts w:ascii="Arial" w:eastAsia="Arial" w:hAnsi="Arial" w:cs="Arial"/>
          <w:color w:val="00000A"/>
          <w:sz w:val="24"/>
          <w:szCs w:val="24"/>
        </w:rPr>
        <w:t> </w:t>
      </w:r>
      <w:r>
        <w:rPr>
          <w:rFonts w:ascii="Arial" w:eastAsia="Arial" w:hAnsi="Arial" w:cs="Arial"/>
          <w:color w:val="00000A"/>
          <w:sz w:val="24"/>
          <w:szCs w:val="24"/>
        </w:rPr>
        <w:t>polysacharidech, stavbu škrobu a jeho vlastnosti.</w:t>
      </w:r>
    </w:p>
    <w:p w14:paraId="00000005" w14:textId="77777777" w:rsidR="00A51C0C" w:rsidRDefault="00615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A51C0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Škrob</w:t>
        </w:r>
      </w:hyperlink>
    </w:p>
    <w:p w14:paraId="00000006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A51C0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14:paraId="00000007" w14:textId="77777777" w:rsidR="00A51C0C" w:rsidRDefault="00615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Popište slovně jednotlivé rozdíly ve struktuře následujících polysacharidů</w:t>
      </w:r>
    </w:p>
    <w:p w14:paraId="00000008" w14:textId="77777777" w:rsidR="00A51C0C" w:rsidRDefault="00A51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amylóza </w:t>
      </w:r>
      <w:r>
        <w:rPr>
          <w:b/>
          <w:color w:val="FF0000"/>
        </w:rPr>
        <w:t>–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jednoduchý, nerozvětvený řetězec stočený do šroubovice</w:t>
      </w:r>
    </w:p>
    <w:p w14:paraId="0000000A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amylopektin </w:t>
      </w:r>
      <w:r>
        <w:rPr>
          <w:b/>
          <w:color w:val="FF0000"/>
        </w:rPr>
        <w:t xml:space="preserve">– </w:t>
      </w:r>
      <w:r>
        <w:rPr>
          <w:rFonts w:ascii="Arial" w:eastAsia="Arial" w:hAnsi="Arial" w:cs="Arial"/>
          <w:color w:val="FF0000"/>
          <w:sz w:val="24"/>
          <w:szCs w:val="24"/>
        </w:rPr>
        <w:t>mírně rozvětvený řetězec</w:t>
      </w:r>
    </w:p>
    <w:p w14:paraId="0000000B" w14:textId="77777777" w:rsidR="00A51C0C" w:rsidRDefault="006151C9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glykogen </w:t>
      </w:r>
      <w:r>
        <w:rPr>
          <w:b/>
          <w:color w:val="FF0000"/>
        </w:rPr>
        <w:t xml:space="preserve">– </w:t>
      </w:r>
      <w:r>
        <w:rPr>
          <w:rFonts w:ascii="Arial" w:eastAsia="Arial" w:hAnsi="Arial" w:cs="Arial"/>
          <w:color w:val="FF0000"/>
          <w:sz w:val="24"/>
          <w:szCs w:val="24"/>
        </w:rPr>
        <w:t>silně rozvětvený řetězec</w:t>
      </w:r>
    </w:p>
    <w:p w14:paraId="0000000C" w14:textId="77777777" w:rsidR="00A51C0C" w:rsidRDefault="006151C9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  <w:sectPr w:rsidR="00A51C0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celulóza </w:t>
      </w:r>
      <w:r>
        <w:rPr>
          <w:b/>
          <w:color w:val="FF0000"/>
        </w:rPr>
        <w:t xml:space="preserve">– </w:t>
      </w:r>
      <w:r>
        <w:rPr>
          <w:rFonts w:ascii="Arial" w:eastAsia="Arial" w:hAnsi="Arial" w:cs="Arial"/>
          <w:color w:val="FF0000"/>
          <w:sz w:val="24"/>
          <w:szCs w:val="24"/>
        </w:rPr>
        <w:t>rovný a dlouhý řetězec</w:t>
      </w:r>
    </w:p>
    <w:p w14:paraId="0000000D" w14:textId="77777777" w:rsidR="00A51C0C" w:rsidRDefault="00A51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0E" w14:textId="77777777" w:rsidR="00A51C0C" w:rsidRDefault="00615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Označte, které sacharidy patří mezi polysacharidy.</w:t>
      </w:r>
    </w:p>
    <w:p w14:paraId="0000000F" w14:textId="5F5AD272" w:rsidR="00A51C0C" w:rsidRPr="00B14295" w:rsidRDefault="006151C9">
      <w:pPr>
        <w:ind w:left="720"/>
        <w:rPr>
          <w:rFonts w:ascii="Arial" w:eastAsia="Arial" w:hAnsi="Arial" w:cs="Arial"/>
          <w:color w:val="FF0000"/>
          <w:sz w:val="24"/>
          <w:szCs w:val="24"/>
        </w:rPr>
      </w:pPr>
      <w:r w:rsidRPr="00B14295">
        <w:rPr>
          <w:rFonts w:ascii="Arial" w:eastAsia="Arial" w:hAnsi="Arial" w:cs="Arial"/>
          <w:sz w:val="24"/>
          <w:szCs w:val="24"/>
        </w:rPr>
        <w:t>celobióza, maltóza,</w:t>
      </w:r>
      <w:r w:rsidRPr="00B14295">
        <w:rPr>
          <w:rFonts w:ascii="Arial" w:eastAsia="Arial" w:hAnsi="Arial" w:cs="Arial"/>
          <w:color w:val="FF0000"/>
          <w:sz w:val="24"/>
          <w:szCs w:val="24"/>
        </w:rPr>
        <w:t xml:space="preserve"> škrob</w:t>
      </w:r>
      <w:r w:rsidRPr="00B14295">
        <w:rPr>
          <w:rFonts w:ascii="Arial" w:eastAsia="Arial" w:hAnsi="Arial" w:cs="Arial"/>
          <w:sz w:val="24"/>
          <w:szCs w:val="24"/>
        </w:rPr>
        <w:t>, laktóza,</w:t>
      </w:r>
      <w:r w:rsidRPr="00B14295">
        <w:rPr>
          <w:rFonts w:ascii="Arial" w:eastAsia="Arial" w:hAnsi="Arial" w:cs="Arial"/>
          <w:color w:val="FF0000"/>
          <w:sz w:val="24"/>
          <w:szCs w:val="24"/>
        </w:rPr>
        <w:t xml:space="preserve"> chitin</w:t>
      </w:r>
      <w:r w:rsidRPr="00B1429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14295">
        <w:rPr>
          <w:rFonts w:ascii="Arial" w:eastAsia="Arial" w:hAnsi="Arial" w:cs="Arial"/>
          <w:color w:val="FF0000"/>
          <w:sz w:val="24"/>
          <w:szCs w:val="24"/>
        </w:rPr>
        <w:t>fruktan</w:t>
      </w:r>
      <w:proofErr w:type="spellEnd"/>
      <w:r w:rsidRPr="00B14295">
        <w:rPr>
          <w:rFonts w:ascii="Arial" w:eastAsia="Arial" w:hAnsi="Arial" w:cs="Arial"/>
          <w:sz w:val="24"/>
          <w:szCs w:val="24"/>
        </w:rPr>
        <w:t xml:space="preserve">, fruktóza, </w:t>
      </w:r>
      <w:r w:rsidRPr="00B14295">
        <w:rPr>
          <w:rFonts w:ascii="Arial" w:eastAsia="Arial" w:hAnsi="Arial" w:cs="Arial"/>
          <w:color w:val="FF0000"/>
          <w:sz w:val="24"/>
          <w:szCs w:val="24"/>
        </w:rPr>
        <w:t>inulin</w:t>
      </w:r>
      <w:r w:rsidRPr="00B14295">
        <w:rPr>
          <w:rFonts w:ascii="Arial" w:eastAsia="Arial" w:hAnsi="Arial" w:cs="Arial"/>
          <w:sz w:val="24"/>
          <w:szCs w:val="24"/>
        </w:rPr>
        <w:t>, glukóza,</w:t>
      </w:r>
      <w:r w:rsidRPr="00B14295">
        <w:rPr>
          <w:rFonts w:ascii="Arial" w:eastAsia="Arial" w:hAnsi="Arial" w:cs="Arial"/>
          <w:sz w:val="24"/>
          <w:szCs w:val="24"/>
        </w:rPr>
        <w:t xml:space="preserve"> </w:t>
      </w:r>
      <w:r w:rsidRPr="00B14295">
        <w:rPr>
          <w:rFonts w:ascii="Arial" w:eastAsia="Arial" w:hAnsi="Arial" w:cs="Arial"/>
          <w:color w:val="FF0000"/>
          <w:sz w:val="24"/>
          <w:szCs w:val="24"/>
        </w:rPr>
        <w:t>glykogen</w:t>
      </w:r>
      <w:r w:rsidRPr="00B14295">
        <w:rPr>
          <w:rFonts w:ascii="Arial" w:eastAsia="Arial" w:hAnsi="Arial" w:cs="Arial"/>
          <w:sz w:val="24"/>
          <w:szCs w:val="24"/>
        </w:rPr>
        <w:t xml:space="preserve">, sacharóza, </w:t>
      </w:r>
      <w:r w:rsidRPr="00B14295">
        <w:rPr>
          <w:rFonts w:ascii="Arial" w:eastAsia="Arial" w:hAnsi="Arial" w:cs="Arial"/>
          <w:color w:val="FF0000"/>
          <w:sz w:val="24"/>
          <w:szCs w:val="24"/>
        </w:rPr>
        <w:t>celulóza</w:t>
      </w:r>
    </w:p>
    <w:p w14:paraId="00000010" w14:textId="77777777" w:rsidR="00A51C0C" w:rsidRDefault="00A51C0C">
      <w:pPr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11" w14:textId="0BFF866C" w:rsidR="00A51C0C" w:rsidRDefault="00615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pojem roztažná tekutina, která byla připravena smícháním škrobu a</w:t>
      </w:r>
      <w:r w:rsidR="00E47C25">
        <w:rPr>
          <w:rFonts w:ascii="Arial" w:eastAsia="Arial" w:hAnsi="Arial" w:cs="Arial"/>
          <w:b/>
          <w:sz w:val="24"/>
          <w:szCs w:val="24"/>
        </w:rPr>
        <w:t> 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vody v určitém poměru.</w:t>
      </w:r>
    </w:p>
    <w:p w14:paraId="00000012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Proč se tato tekutina při úderu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zpevní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 naopak při pomalém pohybu ruka pronikne do tekutiny?</w:t>
      </w:r>
    </w:p>
    <w:p w14:paraId="00000013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381000</wp:posOffset>
            </wp:positionH>
            <wp:positionV relativeFrom="paragraph">
              <wp:posOffset>361330</wp:posOffset>
            </wp:positionV>
            <wp:extent cx="2528888" cy="1134145"/>
            <wp:effectExtent l="0" t="0" r="0" b="0"/>
            <wp:wrapSquare wrapText="bothSides" distT="114300" distB="114300" distL="114300" distR="11430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113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4" w14:textId="77777777" w:rsidR="00A51C0C" w:rsidRDefault="006151C9" w:rsidP="00B142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Roztažná tekutina je látka, které se při úderu zpevní a stává se pevnou. Po povolení síly se stává opět tekutinou.</w:t>
      </w:r>
    </w:p>
    <w:p w14:paraId="00000015" w14:textId="77777777" w:rsidR="00A51C0C" w:rsidRDefault="006151C9" w:rsidP="00B142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Škrob obsahuje malé částečky, mezi které se snadno dostává voda. Ta funguje jako mazivo mezi jednotlivými částečkami. Při použití rychlé síly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se částečky semknou, vypudí vodu, získají uspořádanější strukturu, daná směs se stává pevnou. Jak síla povolí, voda opět pronikne mezi částečky, směs se stává tekutinou. </w:t>
      </w:r>
    </w:p>
    <w:p w14:paraId="00000016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br w:type="page"/>
      </w:r>
    </w:p>
    <w:p w14:paraId="00000017" w14:textId="77777777" w:rsidR="00A51C0C" w:rsidRDefault="00615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Jakým činidlem provádíme důkaz škrobu? Vysvětlete příčinu zbarvení. </w:t>
      </w:r>
    </w:p>
    <w:p w14:paraId="00000018" w14:textId="77777777" w:rsidR="00A51C0C" w:rsidRDefault="00A51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9" w14:textId="77777777" w:rsidR="00A51C0C" w:rsidRDefault="006151C9" w:rsidP="00EE0020">
      <w:pPr>
        <w:spacing w:line="360" w:lineRule="auto"/>
        <w:ind w:left="720" w:right="40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Důkaz škrobu v neznámé látce se provádí roztokem jódu, jehož přítomnost prozrazuje modrofialové zbarvení. K tomuto jevu dochází, protože velikost dutiny šroubovice amylózy odpovídá velikosti molekuly jódu I</w:t>
      </w:r>
      <w:r>
        <w:rPr>
          <w:rFonts w:ascii="Arial" w:eastAsia="Arial" w:hAnsi="Arial" w:cs="Arial"/>
          <w:color w:val="FF0000"/>
          <w:sz w:val="24"/>
          <w:szCs w:val="24"/>
          <w:highlight w:val="white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, se kterou tvoří barevný komplex. </w:t>
      </w:r>
    </w:p>
    <w:p w14:paraId="0000001A" w14:textId="77777777" w:rsidR="00A51C0C" w:rsidRDefault="00A51C0C">
      <w:pPr>
        <w:spacing w:line="36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14:paraId="0000001B" w14:textId="77777777" w:rsidR="00A51C0C" w:rsidRDefault="00A51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1C" w14:textId="77777777" w:rsidR="00A51C0C" w:rsidRDefault="00A51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0000001D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51C0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 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14:paraId="0000001E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A51C0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F" w14:textId="77777777" w:rsidR="00A51C0C" w:rsidRDefault="00A51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20" w14:textId="77777777" w:rsidR="00A51C0C" w:rsidRDefault="00A51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21" w14:textId="77777777" w:rsidR="00A51C0C" w:rsidRDefault="00615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-161444</wp:posOffset>
                </wp:positionH>
                <wp:positionV relativeFrom="paragraph">
                  <wp:posOffset>3274695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F56CC1" w14:textId="77777777" w:rsidR="00A51C0C" w:rsidRDefault="006151C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14:paraId="0359D79F" w14:textId="77777777" w:rsidR="00A51C0C" w:rsidRDefault="00A51C0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-12.7pt;margin-top:257.85pt;width:542.1pt;height:81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h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" filled="f" stroked="f">
                <v:textbox inset="2.53958mm,1.2694mm,2.53958mm,1.2694mm">
                  <w:txbxContent>
                    <w:p w14:paraId="15F56CC1" w14:textId="77777777" w:rsidR="00A51C0C" w:rsidRDefault="006151C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14:paraId="0359D79F" w14:textId="77777777" w:rsidR="00A51C0C" w:rsidRDefault="00A51C0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51C0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0A2C" w14:textId="77777777" w:rsidR="006151C9" w:rsidRDefault="006151C9">
      <w:pPr>
        <w:spacing w:after="0" w:line="240" w:lineRule="auto"/>
      </w:pPr>
      <w:r>
        <w:separator/>
      </w:r>
    </w:p>
  </w:endnote>
  <w:endnote w:type="continuationSeparator" w:id="0">
    <w:p w14:paraId="24472899" w14:textId="77777777" w:rsidR="006151C9" w:rsidRDefault="006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A51C0C" w:rsidRDefault="00A51C0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51C0C" w14:paraId="762E5CC3" w14:textId="77777777">
      <w:tc>
        <w:tcPr>
          <w:tcW w:w="3485" w:type="dxa"/>
        </w:tcPr>
        <w:p w14:paraId="00000027" w14:textId="77777777" w:rsidR="00A51C0C" w:rsidRDefault="00A51C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14:paraId="00000028" w14:textId="77777777" w:rsidR="00A51C0C" w:rsidRDefault="00A51C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14:paraId="00000029" w14:textId="77777777" w:rsidR="00A51C0C" w:rsidRDefault="00A51C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02A" w14:textId="77777777" w:rsidR="00A51C0C" w:rsidRDefault="006151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DA44F" w14:textId="77777777" w:rsidR="006151C9" w:rsidRDefault="006151C9">
      <w:pPr>
        <w:spacing w:after="0" w:line="240" w:lineRule="auto"/>
      </w:pPr>
      <w:r>
        <w:separator/>
      </w:r>
    </w:p>
  </w:footnote>
  <w:footnote w:type="continuationSeparator" w:id="0">
    <w:p w14:paraId="751384AC" w14:textId="77777777" w:rsidR="006151C9" w:rsidRDefault="0061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A51C0C" w:rsidRDefault="00A51C0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51C0C" w14:paraId="6C6BA2C2" w14:textId="77777777">
      <w:trPr>
        <w:trHeight w:val="1278"/>
      </w:trPr>
      <w:tc>
        <w:tcPr>
          <w:tcW w:w="10455" w:type="dxa"/>
        </w:tcPr>
        <w:p w14:paraId="00000024" w14:textId="77777777" w:rsidR="00A51C0C" w:rsidRDefault="006151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25" w14:textId="77777777" w:rsidR="00A51C0C" w:rsidRDefault="00A51C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A51C0C" w:rsidRDefault="006151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1E83"/>
    <w:multiLevelType w:val="multilevel"/>
    <w:tmpl w:val="76E004B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1C5218"/>
    <w:multiLevelType w:val="multilevel"/>
    <w:tmpl w:val="759ECA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C3F6A"/>
    <w:multiLevelType w:val="multilevel"/>
    <w:tmpl w:val="02D62054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C"/>
    <w:rsid w:val="006151C9"/>
    <w:rsid w:val="00676BBE"/>
    <w:rsid w:val="008C1A3A"/>
    <w:rsid w:val="00A51C0C"/>
    <w:rsid w:val="00B14295"/>
    <w:rsid w:val="00E47C25"/>
    <w:rsid w:val="00E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FED4"/>
  <w15:docId w15:val="{7C68F02C-75DF-4FD1-A9E4-C61F509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811-pokus-skrob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vBFfpV4zgnMXG/5BIFArrA6k8g==">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6</cp:revision>
  <dcterms:created xsi:type="dcterms:W3CDTF">2021-08-03T09:29:00Z</dcterms:created>
  <dcterms:modified xsi:type="dcterms:W3CDTF">2023-05-16T13:27:00Z</dcterms:modified>
</cp:coreProperties>
</file>