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Ohmův zákon – řešení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studenty 2. stupně základních škol a jeho cílem je seznámit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Ohmovým zákonem.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f3399"/>
            <w:sz w:val="32"/>
            <w:szCs w:val="32"/>
            <w:u w:val="single"/>
            <w:rtl w:val="0"/>
          </w:rPr>
          <w:t xml:space="preserve">Pokusy: Elektrický proud a Ohmův zákon</w:t>
        </w:r>
      </w:hyperlink>
      <w:r w:rsidDel="00000000" w:rsidR="00000000" w:rsidRPr="00000000">
        <w:fldChar w:fldCharType="begin"/>
        <w:instrText xml:space="preserve"> HYPERLINK "https://edu.ceskatelevize.cz/video/153-pokusy-vykon?vsrc=predmet&amp;vsrcid=fyzika%7E2-stupen-zs"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Doplňte k fyzikální veličině její značku a jednotku:</w:t>
      </w:r>
      <w:r w:rsidDel="00000000" w:rsidR="00000000" w:rsidRPr="00000000">
        <w:rPr>
          <w:rtl w:val="0"/>
        </w:rPr>
      </w:r>
    </w:p>
    <w:tbl>
      <w:tblPr>
        <w:tblStyle w:val="Table1"/>
        <w:tblW w:w="6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980"/>
        <w:gridCol w:w="1980"/>
        <w:gridCol w:w="2355"/>
        <w:tblGridChange w:id="0">
          <w:tblGrid>
            <w:gridCol w:w="1980"/>
            <w:gridCol w:w="1980"/>
            <w:gridCol w:w="235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33bef2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Veličina</w:t>
            </w:r>
          </w:p>
        </w:tc>
        <w:tc>
          <w:tcPr>
            <w:shd w:fill="33bef2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Značka</w:t>
            </w:r>
          </w:p>
        </w:tc>
        <w:tc>
          <w:tcPr>
            <w:shd w:fill="33bef2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Základní j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ednotka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A (ampér)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napětí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V (volt)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odpor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color w:val="ff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Ω (Ohm)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Jaká je funkce elektrického odporu?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43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33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Elektrický odpor do určité míry zadržuje tok elektronů.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120" w:line="240" w:lineRule="auto"/>
        <w:ind w:left="714" w:right="403" w:hanging="357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 měří voltmetr?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odpor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color w:val="ff33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napětí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proud</w:t>
      </w:r>
    </w:p>
    <w:p w:rsidR="00000000" w:rsidDel="00000000" w:rsidP="00000000" w:rsidRDefault="00000000" w:rsidRPr="00000000" w14:paraId="0000001A">
      <w:pPr>
        <w:spacing w:line="240" w:lineRule="auto"/>
        <w:ind w:left="1440" w:right="401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1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Doplňte definici Ohmova zákona: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20" w:right="403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Ohmův zákon vyjadřuje závislost proudu na 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napětí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odporu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vodiče.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 síť o napětí 230 V je připojena žárovka s odporem 400 Ω. Jaký proud bude procházet žárovkou?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-11" w:firstLine="0"/>
        <w:jc w:val="both"/>
        <w:rPr>
          <w:rFonts w:ascii="Arial" w:cs="Arial" w:eastAsia="Arial" w:hAnsi="Arial"/>
          <w:color w:val="ff3399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ab/>
      </w:r>
      <m:oMath>
        <m:r>
          <w:rPr>
            <w:rFonts w:ascii="Arial" w:cs="Arial" w:eastAsia="Arial" w:hAnsi="Arial"/>
            <w:color w:val="ff3399"/>
            <w:sz w:val="26"/>
            <w:szCs w:val="26"/>
          </w:rPr>
          <m:t xml:space="preserve">R = </m:t>
        </m:r>
        <m:f>
          <m:fPr>
            <m:ctrlPr>
              <w:rPr>
                <w:rFonts w:ascii="Arial" w:cs="Arial" w:eastAsia="Arial" w:hAnsi="Arial"/>
                <w:color w:val="ff3399"/>
                <w:sz w:val="26"/>
                <w:szCs w:val="26"/>
              </w:rPr>
            </m:ctrlPr>
          </m:fPr>
          <m:num>
            <m:r>
              <w:rPr>
                <w:rFonts w:ascii="Arial" w:cs="Arial" w:eastAsia="Arial" w:hAnsi="Arial"/>
                <w:color w:val="ff3399"/>
                <w:sz w:val="26"/>
                <w:szCs w:val="26"/>
              </w:rPr>
              <m:t xml:space="preserve">U</m:t>
            </m:r>
          </m:num>
          <m:den>
            <m:r>
              <w:rPr>
                <w:rFonts w:ascii="Arial" w:cs="Arial" w:eastAsia="Arial" w:hAnsi="Arial"/>
                <w:color w:val="ff3399"/>
                <w:sz w:val="26"/>
                <w:szCs w:val="26"/>
              </w:rPr>
              <m:t xml:space="preserve">I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-11" w:firstLine="0"/>
        <w:jc w:val="both"/>
        <w:rPr>
          <w:rFonts w:ascii="Arial" w:cs="Arial" w:eastAsia="Arial" w:hAnsi="Arial"/>
          <w:color w:val="ff3399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ff3399"/>
          <w:sz w:val="26"/>
          <w:szCs w:val="26"/>
          <w:rtl w:val="0"/>
        </w:rPr>
        <w:tab/>
      </w:r>
      <m:oMath>
        <m:r>
          <w:rPr>
            <w:rFonts w:ascii="Arial" w:cs="Arial" w:eastAsia="Arial" w:hAnsi="Arial"/>
            <w:color w:val="ff3399"/>
            <w:sz w:val="26"/>
            <w:szCs w:val="26"/>
          </w:rPr>
          <m:t xml:space="preserve">I = </m:t>
        </m:r>
        <m:f>
          <m:fPr>
            <m:ctrlPr>
              <w:rPr>
                <w:rFonts w:ascii="Arial" w:cs="Arial" w:eastAsia="Arial" w:hAnsi="Arial"/>
                <w:color w:val="ff3399"/>
                <w:sz w:val="26"/>
                <w:szCs w:val="26"/>
              </w:rPr>
            </m:ctrlPr>
          </m:fPr>
          <m:num>
            <m:r>
              <w:rPr>
                <w:rFonts w:ascii="Arial" w:cs="Arial" w:eastAsia="Arial" w:hAnsi="Arial"/>
                <w:color w:val="ff3399"/>
                <w:sz w:val="26"/>
                <w:szCs w:val="26"/>
              </w:rPr>
              <m:t xml:space="preserve">U</m:t>
            </m:r>
          </m:num>
          <m:den>
            <m:r>
              <w:rPr>
                <w:rFonts w:ascii="Arial" w:cs="Arial" w:eastAsia="Arial" w:hAnsi="Arial"/>
                <w:color w:val="ff3399"/>
                <w:sz w:val="26"/>
                <w:szCs w:val="26"/>
              </w:rPr>
              <m:t xml:space="preserve">R</m:t>
            </m:r>
          </m:den>
        </m:f>
        <m:r>
          <w:rPr>
            <w:rFonts w:ascii="Arial" w:cs="Arial" w:eastAsia="Arial" w:hAnsi="Arial"/>
            <w:color w:val="ff3399"/>
            <w:sz w:val="26"/>
            <w:szCs w:val="26"/>
          </w:rPr>
          <m:t xml:space="preserve">=</m:t>
        </m:r>
        <m:f>
          <m:fPr>
            <m:ctrlPr>
              <w:rPr>
                <w:rFonts w:ascii="Arial" w:cs="Arial" w:eastAsia="Arial" w:hAnsi="Arial"/>
                <w:color w:val="ff3399"/>
                <w:sz w:val="26"/>
                <w:szCs w:val="26"/>
              </w:rPr>
            </m:ctrlPr>
          </m:fPr>
          <m:num>
            <m:r>
              <w:rPr>
                <w:rFonts w:ascii="Arial" w:cs="Arial" w:eastAsia="Arial" w:hAnsi="Arial"/>
                <w:color w:val="ff3399"/>
                <w:sz w:val="26"/>
                <w:szCs w:val="26"/>
              </w:rPr>
              <m:t xml:space="preserve">230</m:t>
            </m:r>
          </m:num>
          <m:den>
            <m:r>
              <w:rPr>
                <w:rFonts w:ascii="Arial" w:cs="Arial" w:eastAsia="Arial" w:hAnsi="Arial"/>
                <w:color w:val="ff3399"/>
                <w:sz w:val="26"/>
                <w:szCs w:val="26"/>
              </w:rPr>
              <m:t xml:space="preserve">400</m:t>
            </m:r>
          </m:den>
        </m:f>
        <m:r>
          <w:rPr>
            <w:rFonts w:ascii="Arial" w:cs="Arial" w:eastAsia="Arial" w:hAnsi="Arial"/>
            <w:color w:val="ff3399"/>
            <w:sz w:val="26"/>
            <w:szCs w:val="26"/>
          </w:rPr>
          <m:t xml:space="preserve"> </m:t>
        </m:r>
        <m:r>
          <w:rPr/>
          <m:t xml:space="preserve">A</m:t>
        </m:r>
        <m:r>
          <w:rPr>
            <w:rFonts w:ascii="Arial" w:cs="Arial" w:eastAsia="Arial" w:hAnsi="Arial"/>
            <w:color w:val="ff3399"/>
            <w:sz w:val="26"/>
            <w:szCs w:val="26"/>
          </w:rPr>
          <m:t xml:space="preserve"> = 0,575 A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-11" w:firstLine="0"/>
        <w:jc w:val="both"/>
        <w:rPr>
          <w:rFonts w:ascii="Arial" w:cs="Arial" w:eastAsia="Arial" w:hAnsi="Arial"/>
          <w:color w:val="ff3399"/>
          <w:sz w:val="24"/>
          <w:szCs w:val="24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color w:val="ff3399"/>
          <w:sz w:val="26"/>
          <w:szCs w:val="26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Žárovkou bude protékat proud o hodnotě 0,575 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3347720</wp:posOffset>
                </wp:positionV>
                <wp:extent cx="6903720" cy="1049655"/>
                <wp:effectExtent b="0" l="0" r="0" t="0"/>
                <wp:wrapSquare wrapText="bothSides" distB="45720" distT="4572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3347720</wp:posOffset>
                </wp:positionV>
                <wp:extent cx="6903720" cy="1049655"/>
                <wp:effectExtent b="0" l="0" r="0" t="0"/>
                <wp:wrapSquare wrapText="bothSides" distB="45720" distT="45720" distL="114300" distR="114300"/>
                <wp:docPr id="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3720" cy="1049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-103514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3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4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Normlnweb">
    <w:name w:val="Normal (Web)"/>
    <w:basedOn w:val="Normln"/>
    <w:uiPriority w:val="99"/>
    <w:semiHidden w:val="1"/>
    <w:unhideWhenUsed w:val="1"/>
    <w:rsid w:val="008C12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 w:val="1"/>
    <w:rsid w:val="006C7A07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edu.ceskatelevize.cz/video/5420-pokus-elektricky-proud-a-ohmuv-zakon?vsrc=vyhledavani&amp;vsrcid=ohm%C5%AFv+z%C3%A1kon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PREQrdfi2iClhpNaf+TlmaWOvg==">AMUW2mV1FY4eFgOky2sI+8rJhUrdBuN2ojrvxsg+eYV9YLIfpW0ZNlY/gKb2QOOWOrCHv1wKJH96JUbBWI9yKquq64z+liLaiPGgBy7lizaaCDH/fuM0ALvRFPUhwb3PtP6k5hptuci9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2022-03-10T21:57:00Z</dcterms:created>
  <dc:creator>Jan Johanovský</dc:creator>
</cp:coreProperties>
</file>