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44"/>
          <w:szCs w:val="44"/>
        </w:rPr>
        <w:t>Proteiny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Pracovní list je určen pro studenty </w:t>
      </w:r>
      <w:r>
        <w:rPr>
          <w:rFonts w:eastAsia="Arial" w:cs="Arial" w:ascii="Arial" w:hAnsi="Arial"/>
          <w:sz w:val="24"/>
          <w:szCs w:val="24"/>
        </w:rPr>
        <w:t>středních škol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a jeho cílem je se seznámit s </w:t>
      </w:r>
      <w:hyperlink r:id="rId5">
        <w:r>
          <w:rPr>
            <w:rFonts w:eastAsia="Arial" w:cs="Arial" w:ascii="Arial" w:hAnsi="Arial"/>
            <w:sz w:val="24"/>
            <w:szCs w:val="24"/>
          </w:rPr>
          <w:t>proteiny, enzymy a aminokyselinami.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7">
        <w:r>
          <w:rPr>
            <w:rStyle w:val="Internetovodkaz"/>
            <w:rFonts w:eastAsia="Arial" w:cs="Arial" w:ascii="Arial" w:hAnsi="Arial"/>
            <w:b/>
            <w:color w:val="FF3399"/>
            <w:sz w:val="32"/>
            <w:szCs w:val="32"/>
            <w:u w:val="single"/>
          </w:rPr>
          <w:t>Proteinové inženýrství</w:t>
        </w:r>
      </w:hyperlink>
    </w:p>
    <w:p>
      <w:pPr>
        <w:pStyle w:val="Normal"/>
        <w:rPr/>
      </w:pPr>
      <w:hyperlink r:id="rId8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numPr>
          <w:ilvl w:val="0"/>
          <w:numId w:val="1"/>
        </w:numPr>
        <w:spacing w:lineRule="auto" w:line="240"/>
        <w:ind w:left="720" w:right="401" w:hanging="360"/>
        <w:rPr/>
      </w:pPr>
      <w:r>
        <w:rPr>
          <w:rFonts w:eastAsia="Arial" w:cs="Arial" w:ascii="Arial" w:hAnsi="Arial"/>
          <w:b/>
          <w:sz w:val="24"/>
          <w:szCs w:val="24"/>
        </w:rPr>
        <w:t>Co jsou to enzymy?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1440" w:right="403" w:hanging="360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Enzymy jsou proteiny, které urychlují reakce.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1440" w:right="403" w:hanging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Enzymy jsou strukturní bílkoviny. </w:t>
      </w:r>
    </w:p>
    <w:p>
      <w:pPr>
        <w:pStyle w:val="Normal"/>
        <w:numPr>
          <w:ilvl w:val="0"/>
          <w:numId w:val="3"/>
        </w:numPr>
        <w:spacing w:lineRule="auto" w:line="480" w:before="0" w:after="0"/>
        <w:ind w:left="1440" w:right="403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Enzymy jsou základní stavební jednotkou DNA.</w:t>
      </w:r>
    </w:p>
    <w:p>
      <w:pPr>
        <w:pStyle w:val="Normal"/>
        <w:spacing w:lineRule="auto" w:line="480" w:before="0" w:after="0"/>
        <w:ind w:left="1440" w:right="403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Určete pravdivost výroků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: </w:t>
      </w:r>
    </w:p>
    <w:p>
      <w:pPr>
        <w:pStyle w:val="Normal"/>
        <w:rPr/>
      </w:pPr>
      <w:r>
        <w:rPr/>
      </w:r>
    </w:p>
    <w:tbl>
      <w:tblPr>
        <w:tblStyle w:val="Table1"/>
        <w:tblW w:w="86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6973"/>
        <w:gridCol w:w="850"/>
        <w:gridCol w:w="851"/>
      </w:tblGrid>
      <w:tr>
        <w:trPr>
          <w:trHeight w:val="573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Bílkoviny jsou základní stavební jednotkou živých organismů.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Bílkoviny jsou biopolymery.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Základní stavební jednotkou bílkovin jsou aminokyseliny.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Bílkoviny vznikají uvnitř buněk.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/>
        <w:ind w:left="720" w:right="401" w:hanging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 w:before="0" w:after="0"/>
        <w:ind w:left="0" w:right="403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r>
        <w:br w:type="page"/>
      </w:r>
    </w:p>
    <w:p>
      <w:pPr>
        <w:pStyle w:val="Normal"/>
        <w:spacing w:lineRule="auto" w:line="480" w:before="0" w:after="0"/>
        <w:ind w:left="0" w:right="403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Na obrázku označte a pojmenujte dvě základní funkční skupiny aminokyselin.</w:t>
      </w:r>
    </w:p>
    <w:p>
      <w:pPr>
        <w:pStyle w:val="Normal"/>
        <w:spacing w:lineRule="auto" w:line="480"/>
        <w:ind w:left="2880" w:right="-11" w:firstLine="720"/>
        <w:jc w:val="left"/>
        <w:rPr>
          <w:rFonts w:ascii="Arial" w:hAnsi="Arial" w:eastAsia="Arial" w:cs="Arial"/>
          <w:color w:val="00FFFF"/>
        </w:rPr>
      </w:pPr>
      <w:r>
        <w:rPr>
          <w:rFonts w:eastAsia="Arial" w:cs="Arial" w:ascii="Arial" w:hAnsi="Arial"/>
          <w:color w:val="33BEF2"/>
        </w:rPr>
        <w:t xml:space="preserve">     </w:t>
        <mc:AlternateContent>
          <mc:Choice Requires="wps">
            <w:drawing>
              <wp:anchor behindDoc="0" distT="114300" distB="114300" distL="114300" distR="114300" simplePos="0" locked="0" layoutInCell="1" allowOverlap="1" relativeHeight="4">
                <wp:simplePos x="0" y="0"/>
                <wp:positionH relativeFrom="column">
                  <wp:posOffset>2714625</wp:posOffset>
                </wp:positionH>
                <wp:positionV relativeFrom="paragraph">
                  <wp:posOffset>190500</wp:posOffset>
                </wp:positionV>
                <wp:extent cx="524510" cy="534035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53352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1" stroked="t" style="position:absolute;margin-left:213.75pt;margin-top:15pt;width:41.2pt;height:41.95pt">
                <w10:wrap type="none"/>
                <v:fill o:detectmouseclick="t" on="false"/>
                <v:stroke color="aqu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Arial" w:cs="Arial" w:ascii="Arial" w:hAnsi="Arial"/>
          <w:color w:val="00FFFF"/>
        </w:rPr>
        <w:t xml:space="preserve">  </w:t>
      </w:r>
      <w:r>
        <w:rPr>
          <w:rFonts w:eastAsia="Arial" w:cs="Arial" w:ascii="Arial" w:hAnsi="Arial"/>
          <w:color w:val="00FFFF"/>
        </w:rPr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2543175</wp:posOffset>
            </wp:positionH>
            <wp:positionV relativeFrom="paragraph">
              <wp:posOffset>361950</wp:posOffset>
            </wp:positionV>
            <wp:extent cx="1181100" cy="1171575"/>
            <wp:effectExtent l="0" t="0" r="0" b="0"/>
            <wp:wrapTopAndBottom/>
            <wp:docPr id="6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color w:val="00FFFF"/>
        </w:rPr>
        <w:t>amino skupina</w:t>
      </w:r>
    </w:p>
    <w:p>
      <w:pPr>
        <w:pStyle w:val="Normal"/>
        <w:spacing w:lineRule="auto" w:line="240" w:before="240" w:after="0"/>
        <w:ind w:firstLine="720"/>
        <w:jc w:val="center"/>
        <w:rPr/>
      </w:pPr>
      <w:r>
        <mc:AlternateContent>
          <mc:Choice Requires="wps">
            <w:drawing>
              <wp:anchor behindDoc="0" distT="114300" distB="114300" distL="114300" distR="114300" simplePos="0" locked="0" layoutInCell="1" allowOverlap="1" relativeHeight="2">
                <wp:simplePos x="0" y="0"/>
                <wp:positionH relativeFrom="column">
                  <wp:posOffset>3038475</wp:posOffset>
                </wp:positionH>
                <wp:positionV relativeFrom="paragraph">
                  <wp:posOffset>-873125</wp:posOffset>
                </wp:positionV>
                <wp:extent cx="900430" cy="948690"/>
                <wp:effectExtent l="0" t="0" r="0" b="0"/>
                <wp:wrapNone/>
                <wp:docPr id="7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40" cy="9478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2" stroked="t" style="position:absolute;margin-left:239.25pt;margin-top:-68.75pt;width:70.8pt;height:74.6pt">
                <w10:wrap type="none"/>
                <v:fill o:detectmouseclick="t" on="false"/>
                <v:stroke color="fuchsi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Arial" w:cs="Arial" w:ascii="Arial" w:hAnsi="Arial"/>
          <w:color w:val="F030A1"/>
          <w:sz w:val="24"/>
          <w:szCs w:val="24"/>
        </w:rPr>
        <w:t>karboxylová kyselina</w:t>
      </w:r>
    </w:p>
    <w:p>
      <w:pPr>
        <w:pStyle w:val="Normal"/>
        <w:spacing w:lineRule="auto" w:line="480"/>
        <w:ind w:left="720" w:right="-11" w:hanging="0"/>
        <w:jc w:val="center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ind w:left="720" w:right="401" w:hanging="360"/>
        <w:rPr/>
      </w:pPr>
      <w:bookmarkStart w:id="0" w:name="_heading=h.wyv1et8dxerw"/>
      <w:bookmarkEnd w:id="0"/>
      <w:r>
        <w:rPr>
          <w:rFonts w:eastAsia="Arial" w:cs="Arial" w:ascii="Arial" w:hAnsi="Arial"/>
          <w:b/>
          <w:sz w:val="24"/>
          <w:szCs w:val="24"/>
        </w:rPr>
        <w:t xml:space="preserve">Kolik existuje proteinogenních alfa-L- aminokyselin? Napište alespoň dva příklady esenciálních a neesenciálních aminokyselin: </w:t>
      </w:r>
    </w:p>
    <w:p>
      <w:pPr>
        <w:pStyle w:val="Normal"/>
        <w:spacing w:lineRule="auto" w:line="480"/>
        <w:ind w:left="720" w:right="-11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Ve videu je uvedeno, že proteinogenních aminokyselin je 20. Avšak někdy se nově za proteinogenní aminokyseliny považuje selenocystein, pyrolysin a N-formylmethionin. Tudíž jich může být až 23.</w:t>
      </w:r>
    </w:p>
    <w:p>
      <w:pPr>
        <w:pStyle w:val="Normal"/>
        <w:spacing w:lineRule="auto" w:line="480"/>
        <w:ind w:left="720" w:right="-11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 xml:space="preserve">Esenciální aminokyseliny: leucin, isoleucin, lysin, methionin, fenylalanin, threonin, tryptofan, valin. </w:t>
      </w:r>
    </w:p>
    <w:p>
      <w:pPr>
        <w:pStyle w:val="Normal"/>
        <w:spacing w:lineRule="auto" w:line="480"/>
        <w:ind w:left="720" w:right="-11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 xml:space="preserve">Neesenciální aminokyseliny: alanin, asparagin, kyselina asparagová, glutamin, kyselina glutamová, tyrosin, glycin, prolin, serin.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color w:val="F030A1"/>
          <w:sz w:val="28"/>
          <w:szCs w:val="28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10">
                <wp:simplePos x="0" y="0"/>
                <wp:positionH relativeFrom="column">
                  <wp:posOffset>-211455</wp:posOffset>
                </wp:positionH>
                <wp:positionV relativeFrom="paragraph">
                  <wp:posOffset>6208395</wp:posOffset>
                </wp:positionV>
                <wp:extent cx="6894830" cy="1040765"/>
                <wp:effectExtent l="0" t="0" r="0" b="0"/>
                <wp:wrapSquare wrapText="bothSides"/>
                <wp:docPr id="9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3" stroked="f" style="position:absolute;margin-left:-16.65pt;margin-top:488.8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Arial" w:hAnsi="Arial" w:eastAsia="Noto Sans Symbols" w:cs="Noto Sans Symbols"/>
      <w:b/>
      <w:sz w:val="3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ascii="Arial" w:hAnsi="Arial"/>
      <w:sz w:val="24"/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23-horeni-kyseliny-borite?vsrc=predmet&amp;vsrcid=chemie" TargetMode="External"/><Relationship Id="rId6" Type="http://schemas.openxmlformats.org/officeDocument/2006/relationships/hyperlink" Target="https://edu.ceskatelevize.cz/video/5491-proteinove-inzenyrstvi?vsrc=predmet&amp;vsrcid=chemie" TargetMode="External"/><Relationship Id="rId7" Type="http://schemas.openxmlformats.org/officeDocument/2006/relationships/hyperlink" Target="https://edu.ceskatelevize.cz/video/3423-horeni-kyseliny-borite?vsrc=predmet&amp;vsrcid=chemie" TargetMode="External"/><Relationship Id="rId8" Type="http://schemas.openxmlformats.org/officeDocument/2006/relationships/hyperlink" Target="https://edu.ceskatelevize.cz/video/3423-horeni-kyseliny-borite?vsrc=predmet&amp;vsrcid=chemie" TargetMode="External"/><Relationship Id="rId9" Type="http://schemas.openxmlformats.org/officeDocument/2006/relationships/image" Target="media/image4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qsqcGEC7V1pwSNy8/VDFb2EwNw==">AMUW2mUvUnCz/76csBDZkp2axrF90mnP2s8O3TzMXbZnktBwlSD9fZLBpJ94+ycOokdvZdaH8hkq4Gh52Id5jxItXJs6U2Dfhp3Jb8hvqu9yQll63mFSwnEkhOU2VkqwuEj/VfZCIWbP7xk7GVd0IJsDYkLRGpVdWe/8SV6NinPS+c7fZ8rHFaSwal67CEGTM28g0l6o7H1gr4pr39EPQdGHPKOs6NUj1AO3dhj+B5QSYhNxru+ehqdERXjqKLXdNbRDRJy4AZQ4BopAkkfUBZQYODEes5CT/fO5sXQxHqF9WF894GF8Ar1haiFSch9n+mr3dmy2oQYF/dPsuKQVK+mEotcmGDhL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184</Words>
  <Characters>1411</Characters>
  <CharactersWithSpaces>1573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2022-06-10T21:10:26Z</dcterms:modified>
  <cp:revision>1</cp:revision>
  <dc:subject/>
  <dc:title/>
</cp:coreProperties>
</file>