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Reakce cukru s kyselinou sírovou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základních škol.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vlastnostmi kyseliny sírové a reakcí kyseliny sírové s cukrem.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Reakce cukru s kyselinou sírovou</w:t>
        </w:r>
      </w:hyperlink>
      <w:r w:rsidDel="00000000" w:rsidR="00000000" w:rsidRPr="00000000">
        <w:fldChar w:fldCharType="begin"/>
        <w:instrText xml:space="preserve"> HYPERLINK "https://edu.ceskatelevize.cz/video/35-pokus-hydrostaticky-tlak-a-paradox?vsrc=predmet&amp;vsrcid=fyzika"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vzorec kyseliny sírové?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oxidační číslo má síra v kyselině sírové? 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120" w:line="240" w:lineRule="auto"/>
        <w:ind w:left="720" w:right="403" w:hanging="36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je produktem reakce cukru s kyselinou sírovou?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síran uhličitý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uhlík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síra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oxid uhličitý</w:t>
      </w:r>
    </w:p>
    <w:p w:rsidR="00000000" w:rsidDel="00000000" w:rsidP="00000000" w:rsidRDefault="00000000" w:rsidRPr="00000000" w14:paraId="0000000D">
      <w:pPr>
        <w:spacing w:line="240" w:lineRule="auto"/>
        <w:ind w:left="1440" w:right="40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hanging="36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Vyberte správnou nabídku: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Kyselina sírová je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kyslíkatá / bezkyslíkatá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kyselina.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Kyselina sírová je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slabá / silná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kyselina.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Kyselina sírová je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jednosytná / dvojsytná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kyselina.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Kyselina sírová má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hydratační / dehydratační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účinky.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0" w:right="403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360" w:lineRule="auto"/>
        <w:ind w:left="714" w:right="403" w:hanging="357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Vysvětlete pojem dehydratační účinek.</w:t>
      </w:r>
    </w:p>
    <w:p w:rsidR="00000000" w:rsidDel="00000000" w:rsidP="00000000" w:rsidRDefault="00000000" w:rsidRPr="00000000" w14:paraId="00000015">
      <w:pPr>
        <w:spacing w:line="480" w:lineRule="auto"/>
        <w:ind w:left="284" w:right="-11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403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22770" cy="1068705"/>
                <wp:effectExtent b="0" l="0" r="0" t="0"/>
                <wp:wrapSquare wrapText="bothSides" distB="45720" distT="4572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22770" cy="1068705"/>
                <wp:effectExtent b="0" l="0" r="0" t="0"/>
                <wp:wrapSquare wrapText="bothSides" distB="45720" distT="45720" distL="114300" distR="114300"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2770" cy="1068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4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3402-reakce-cukru-s-kyselinou-sirovou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T0IqLOvQlWphxvRhIBuANgpUNA==">AMUW2mVBXn3xOa+Rmi31zs2AN8pPc4QXN3QEnGb2HmRtB/fSxhgwsHrlQAde1qCJsUCK+gwn3sPNtWP7v6FNruZvK79vI+8vcp+pWVND1y9JSYcAm6IuFMw=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