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Plamenové zkoušky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středních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škol.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plamenovými zkouškami.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Plamenová zkouška lithia</w:t>
        </w:r>
      </w:hyperlink>
      <w:r w:rsidDel="00000000" w:rsidR="00000000" w:rsidRPr="00000000">
        <w:fldChar w:fldCharType="begin"/>
        <w:instrText xml:space="preserve"> HYPERLINK "https://edu.ceskatelevize.cz/video/35-pokus-hydrostaticky-tlak-a-paradox?vsrc=predmet&amp;vsrcid=fyzika"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je potřeba k plamenovým zkouškám?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platinový drátek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měděný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403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lithný drátek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Kde kationty kovů využívají této vlastnosti (barvení plamene)?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tabulku: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935"/>
        <w:gridCol w:w="3330"/>
        <w:gridCol w:w="2925"/>
        <w:tblGridChange w:id="0">
          <w:tblGrid>
            <w:gridCol w:w="1935"/>
            <w:gridCol w:w="3330"/>
            <w:gridCol w:w="2925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shd w:fill="33bef2" w:val="clear"/>
          </w:tcPr>
          <w:p w:rsidR="00000000" w:rsidDel="00000000" w:rsidP="00000000" w:rsidRDefault="00000000" w:rsidRPr="00000000" w14:paraId="0000000F">
            <w:pPr>
              <w:spacing w:after="24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Kation</w:t>
            </w:r>
          </w:p>
        </w:tc>
        <w:tc>
          <w:tcPr>
            <w:shd w:fill="33bef2" w:val="clear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Pojmenování kationtů</w:t>
            </w:r>
          </w:p>
        </w:tc>
        <w:tc>
          <w:tcPr>
            <w:shd w:fill="33bef2" w:val="clear"/>
          </w:tcPr>
          <w:p w:rsidR="00000000" w:rsidDel="00000000" w:rsidP="00000000" w:rsidRDefault="00000000" w:rsidRPr="00000000" w14:paraId="00000011">
            <w:pPr>
              <w:spacing w:after="24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Barva plamene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Rb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2+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2+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22770" cy="1068705"/>
                <wp:effectExtent b="0" l="0" r="0" t="0"/>
                <wp:wrapSquare wrapText="bothSides" distB="45720" distT="4572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6040120</wp:posOffset>
                </wp:positionV>
                <wp:extent cx="6922770" cy="1068705"/>
                <wp:effectExtent b="0" l="0" r="0" t="0"/>
                <wp:wrapSquare wrapText="bothSides" distB="45720" distT="45720" distL="114300" distR="114300"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2770" cy="1068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3391-plamenova-zkouska-lithia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3xmsWwbf8lWATSO/0hT0xFonJw==">AMUW2mVqsQa8ufqy/dwccdYN3N0ejGZujTb0BDJng1eM85XzBXbu05557IK0xSE5gyS31X4UUBgc9eCGzUPbjr8TV6ek1ce+kTTzZt1wBx4VCYcTWmjtTyE=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