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6A" w:rsidRDefault="00382B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82B6A" w:rsidRDefault="00CE31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382B6A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Oxid titaničitý</w:t>
      </w:r>
    </w:p>
    <w:p w:rsidR="00382B6A" w:rsidRDefault="00CE31AC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</w:t>
      </w:r>
      <w:r w:rsidR="00A93E80">
        <w:rPr>
          <w:rFonts w:ascii="Arial" w:eastAsia="Arial" w:hAnsi="Arial" w:cs="Arial"/>
          <w:sz w:val="24"/>
          <w:szCs w:val="24"/>
        </w:rPr>
        <w:t>žáky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středních </w:t>
      </w:r>
      <w:r>
        <w:rPr>
          <w:rFonts w:ascii="Arial" w:eastAsia="Arial" w:hAnsi="Arial" w:cs="Arial"/>
          <w:sz w:val="24"/>
          <w:szCs w:val="24"/>
        </w:rPr>
        <w:t xml:space="preserve">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eho cílem je </w:t>
      </w:r>
      <w:r>
        <w:rPr>
          <w:rFonts w:ascii="Arial" w:eastAsia="Arial" w:hAnsi="Arial" w:cs="Arial"/>
          <w:sz w:val="24"/>
          <w:szCs w:val="24"/>
        </w:rPr>
        <w:t xml:space="preserve">seznámit </w:t>
      </w:r>
      <w:r w:rsidR="00377608"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z w:val="24"/>
          <w:szCs w:val="24"/>
        </w:rPr>
        <w:t>s </w:t>
      </w:r>
      <w:r>
        <w:rPr>
          <w:rFonts w:ascii="Arial" w:eastAsia="Arial" w:hAnsi="Arial" w:cs="Arial"/>
          <w:sz w:val="24"/>
          <w:szCs w:val="24"/>
        </w:rPr>
        <w:t>vlastnost</w:t>
      </w:r>
      <w:r w:rsidR="00377608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 oxidu titaničitého a s fotokatalýzou.</w:t>
      </w:r>
    </w:p>
    <w:p w:rsidR="00382B6A" w:rsidRDefault="00CE31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Světlem proti špíně</w:t>
        </w:r>
      </w:hyperlink>
    </w:p>
    <w:p w:rsidR="00382B6A" w:rsidRDefault="00CE31A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sectPr w:rsidR="00382B6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382B6A" w:rsidRDefault="00CE3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 xml:space="preserve">Napište vzorec oxidu titaničitého: </w:t>
      </w:r>
      <w:r>
        <w:rPr>
          <w:rFonts w:ascii="Arial" w:eastAsia="Arial" w:hAnsi="Arial" w:cs="Arial"/>
          <w:color w:val="33BEF2"/>
        </w:rPr>
        <w:t>………………………………………</w:t>
      </w:r>
    </w:p>
    <w:p w:rsidR="00382B6A" w:rsidRDefault="00CE31AC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eastAsia="Arial" w:hAnsi="Arial" w:cs="Arial"/>
          <w:b/>
          <w:sz w:val="24"/>
          <w:szCs w:val="24"/>
        </w:rPr>
        <w:t>Který název neoznačuje formu oxidu titaničitého?</w:t>
      </w:r>
    </w:p>
    <w:p w:rsidR="00382B6A" w:rsidRDefault="00CE31AC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rutil</w:t>
      </w:r>
    </w:p>
    <w:p w:rsidR="00382B6A" w:rsidRDefault="00CE31AC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anatas</w:t>
      </w:r>
    </w:p>
    <w:p w:rsidR="00382B6A" w:rsidRDefault="00CE31AC">
      <w:pPr>
        <w:numPr>
          <w:ilvl w:val="1"/>
          <w:numId w:val="1"/>
        </w:numPr>
        <w:spacing w:after="0" w:line="24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ametyst</w:t>
      </w:r>
    </w:p>
    <w:p w:rsidR="00382B6A" w:rsidRDefault="00CE3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Určete pravdivost výroků:</w:t>
      </w:r>
    </w:p>
    <w:tbl>
      <w:tblPr>
        <w:tblStyle w:val="af5"/>
        <w:tblW w:w="86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0"/>
        <w:gridCol w:w="855"/>
        <w:gridCol w:w="855"/>
      </w:tblGrid>
      <w:tr w:rsidR="00382B6A">
        <w:trPr>
          <w:trHeight w:val="573"/>
          <w:tblHeader/>
          <w:jc w:val="center"/>
        </w:trPr>
        <w:tc>
          <w:tcPr>
            <w:tcW w:w="6960" w:type="dxa"/>
            <w:shd w:val="clear" w:color="auto" w:fill="33BEF2"/>
          </w:tcPr>
          <w:p w:rsidR="00382B6A" w:rsidRDefault="00382B6A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5" w:type="dxa"/>
            <w:shd w:val="clear" w:color="auto" w:fill="33BEF2"/>
          </w:tcPr>
          <w:p w:rsidR="00382B6A" w:rsidRDefault="00CE31AC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5" w:type="dxa"/>
            <w:shd w:val="clear" w:color="auto" w:fill="33BEF2"/>
          </w:tcPr>
          <w:p w:rsidR="00382B6A" w:rsidRDefault="00CE31AC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382B6A">
        <w:trPr>
          <w:trHeight w:val="675"/>
          <w:jc w:val="center"/>
        </w:trPr>
        <w:tc>
          <w:tcPr>
            <w:tcW w:w="6960" w:type="dxa"/>
          </w:tcPr>
          <w:p w:rsidR="00382B6A" w:rsidRDefault="00CE31AC">
            <w:pPr>
              <w:spacing w:before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Oxid titaničitý je bílá pevná látka.</w:t>
            </w:r>
          </w:p>
        </w:tc>
        <w:tc>
          <w:tcPr>
            <w:tcW w:w="855" w:type="dxa"/>
          </w:tcPr>
          <w:p w:rsidR="00382B6A" w:rsidRDefault="00382B6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5" w:type="dxa"/>
          </w:tcPr>
          <w:p w:rsidR="00382B6A" w:rsidRDefault="00382B6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82B6A">
        <w:trPr>
          <w:trHeight w:val="675"/>
          <w:jc w:val="center"/>
        </w:trPr>
        <w:tc>
          <w:tcPr>
            <w:tcW w:w="6960" w:type="dxa"/>
          </w:tcPr>
          <w:p w:rsidR="00382B6A" w:rsidRDefault="00CE3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Oxid titaničitý je velmi nestálý.</w:t>
            </w:r>
          </w:p>
        </w:tc>
        <w:tc>
          <w:tcPr>
            <w:tcW w:w="855" w:type="dxa"/>
          </w:tcPr>
          <w:p w:rsidR="00382B6A" w:rsidRDefault="00382B6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5" w:type="dxa"/>
          </w:tcPr>
          <w:p w:rsidR="00382B6A" w:rsidRDefault="00382B6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82B6A">
        <w:trPr>
          <w:trHeight w:val="675"/>
          <w:jc w:val="center"/>
        </w:trPr>
        <w:tc>
          <w:tcPr>
            <w:tcW w:w="6960" w:type="dxa"/>
          </w:tcPr>
          <w:p w:rsidR="00382B6A" w:rsidRDefault="00CE3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Oxid titaničitý není toxický.</w:t>
            </w:r>
          </w:p>
        </w:tc>
        <w:tc>
          <w:tcPr>
            <w:tcW w:w="855" w:type="dxa"/>
          </w:tcPr>
          <w:p w:rsidR="00382B6A" w:rsidRDefault="00382B6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5" w:type="dxa"/>
          </w:tcPr>
          <w:p w:rsidR="00382B6A" w:rsidRDefault="00382B6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82B6A">
        <w:trPr>
          <w:trHeight w:val="675"/>
          <w:jc w:val="center"/>
        </w:trPr>
        <w:tc>
          <w:tcPr>
            <w:tcW w:w="6960" w:type="dxa"/>
          </w:tcPr>
          <w:p w:rsidR="00382B6A" w:rsidRDefault="00CE3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Oxid titaničitý je nejrozšířenější sloučeninou titanu. </w:t>
            </w:r>
          </w:p>
        </w:tc>
        <w:tc>
          <w:tcPr>
            <w:tcW w:w="855" w:type="dxa"/>
          </w:tcPr>
          <w:p w:rsidR="00382B6A" w:rsidRDefault="00382B6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5" w:type="dxa"/>
          </w:tcPr>
          <w:p w:rsidR="00382B6A" w:rsidRDefault="00382B6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382B6A" w:rsidRDefault="00382B6A">
      <w:pPr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382B6A" w:rsidRDefault="00CE31AC">
      <w:pPr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chybějící slova do textu o fotokatalýze:</w:t>
      </w:r>
    </w:p>
    <w:p w:rsidR="00382B6A" w:rsidRDefault="00CE31AC" w:rsidP="00416C16">
      <w:pPr>
        <w:spacing w:line="360" w:lineRule="auto"/>
        <w:ind w:left="720" w:right="4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Všechno rozpoutá světlo. Na </w:t>
      </w:r>
      <w:proofErr w:type="spellStart"/>
      <w:r>
        <w:rPr>
          <w:rFonts w:ascii="Arial" w:eastAsia="Arial" w:hAnsi="Arial" w:cs="Arial"/>
          <w:sz w:val="24"/>
          <w:szCs w:val="24"/>
        </w:rPr>
        <w:t>fotokatalyzátor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nejprve dopadá </w:t>
      </w:r>
      <w:r>
        <w:rPr>
          <w:rFonts w:ascii="Arial" w:eastAsia="Arial" w:hAnsi="Arial" w:cs="Arial"/>
          <w:color w:val="33BEF2"/>
        </w:rPr>
        <w:t>…………………</w:t>
      </w:r>
      <w:proofErr w:type="gramStart"/>
      <w:r>
        <w:rPr>
          <w:rFonts w:ascii="Arial" w:eastAsia="Arial" w:hAnsi="Arial" w:cs="Arial"/>
          <w:color w:val="33BEF2"/>
        </w:rPr>
        <w:t>…….</w:t>
      </w:r>
      <w:proofErr w:type="gramEnd"/>
      <w:r>
        <w:rPr>
          <w:rFonts w:ascii="Arial" w:eastAsia="Arial" w:hAnsi="Arial" w:cs="Arial"/>
          <w:color w:val="33BEF2"/>
        </w:rPr>
        <w:t>…</w:t>
      </w:r>
      <w:r>
        <w:rPr>
          <w:rFonts w:ascii="Arial" w:eastAsia="Arial" w:hAnsi="Arial" w:cs="Arial"/>
          <w:sz w:val="24"/>
          <w:szCs w:val="24"/>
        </w:rPr>
        <w:t xml:space="preserve"> záření, které je součástí slunečního světla. Na povrchu </w:t>
      </w:r>
      <w:proofErr w:type="spellStart"/>
      <w:r>
        <w:rPr>
          <w:rFonts w:ascii="Arial" w:eastAsia="Arial" w:hAnsi="Arial" w:cs="Arial"/>
          <w:sz w:val="24"/>
          <w:szCs w:val="24"/>
        </w:rPr>
        <w:t>fotokatalyzátoru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vznikají dvojice kladných a záporných </w:t>
      </w:r>
      <w:r>
        <w:rPr>
          <w:rFonts w:ascii="Arial" w:eastAsia="Arial" w:hAnsi="Arial" w:cs="Arial"/>
          <w:color w:val="33BEF2"/>
        </w:rPr>
        <w:t>……………</w:t>
      </w:r>
      <w:proofErr w:type="gramStart"/>
      <w:r>
        <w:rPr>
          <w:rFonts w:ascii="Arial" w:eastAsia="Arial" w:hAnsi="Arial" w:cs="Arial"/>
          <w:color w:val="33BEF2"/>
        </w:rPr>
        <w:t>…….</w:t>
      </w:r>
      <w:proofErr w:type="gramEnd"/>
      <w:r>
        <w:rPr>
          <w:rFonts w:ascii="Arial" w:eastAsia="Arial" w:hAnsi="Arial" w:cs="Arial"/>
          <w:color w:val="33BEF2"/>
        </w:rPr>
        <w:t>.…</w:t>
      </w:r>
      <w:r>
        <w:rPr>
          <w:rFonts w:ascii="Arial" w:eastAsia="Arial" w:hAnsi="Arial" w:cs="Arial"/>
          <w:sz w:val="24"/>
          <w:szCs w:val="24"/>
        </w:rPr>
        <w:t xml:space="preserve">. Ty reagují s molekulami </w:t>
      </w:r>
      <w:r>
        <w:rPr>
          <w:rFonts w:ascii="Arial" w:eastAsia="Arial" w:hAnsi="Arial" w:cs="Arial"/>
          <w:color w:val="33BEF2"/>
        </w:rPr>
        <w:t>……………………...</w:t>
      </w:r>
      <w:r>
        <w:rPr>
          <w:rFonts w:ascii="Arial" w:eastAsia="Arial" w:hAnsi="Arial" w:cs="Arial"/>
          <w:sz w:val="24"/>
          <w:szCs w:val="24"/>
        </w:rPr>
        <w:t xml:space="preserve"> a</w:t>
      </w:r>
      <w:r w:rsidR="00416C16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vody v ovzduší a na povrchu katalyzátoru vznikají vysoce reaktivní hydroxylové a</w:t>
      </w:r>
      <w:r w:rsidR="00416C16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 xml:space="preserve">peroxidové </w:t>
      </w:r>
      <w:r>
        <w:rPr>
          <w:rFonts w:ascii="Arial" w:eastAsia="Arial" w:hAnsi="Arial" w:cs="Arial"/>
          <w:color w:val="33BEF2"/>
        </w:rPr>
        <w:t>……</w:t>
      </w:r>
      <w:r>
        <w:rPr>
          <w:rFonts w:ascii="Arial" w:eastAsia="Arial" w:hAnsi="Arial" w:cs="Arial"/>
          <w:color w:val="33BEF2"/>
        </w:rPr>
        <w:t>………</w:t>
      </w:r>
      <w:proofErr w:type="gramStart"/>
      <w:r>
        <w:rPr>
          <w:rFonts w:ascii="Arial" w:eastAsia="Arial" w:hAnsi="Arial" w:cs="Arial"/>
          <w:color w:val="33BEF2"/>
        </w:rPr>
        <w:t>…….</w:t>
      </w:r>
      <w:proofErr w:type="gramEnd"/>
      <w:r>
        <w:rPr>
          <w:rFonts w:ascii="Arial" w:eastAsia="Arial" w:hAnsi="Arial" w:cs="Arial"/>
          <w:color w:val="33BEF2"/>
        </w:rPr>
        <w:t>.…</w:t>
      </w:r>
      <w:r>
        <w:rPr>
          <w:rFonts w:ascii="Arial" w:eastAsia="Arial" w:hAnsi="Arial" w:cs="Arial"/>
          <w:sz w:val="24"/>
          <w:szCs w:val="24"/>
        </w:rPr>
        <w:t xml:space="preserve">. Tyto částice útočí na organické látky z okolního vzduchu nebo vody. Během </w:t>
      </w:r>
      <w:r>
        <w:rPr>
          <w:rFonts w:ascii="Arial" w:eastAsia="Arial" w:hAnsi="Arial" w:cs="Arial"/>
          <w:color w:val="33BEF2"/>
        </w:rPr>
        <w:t>…………………</w:t>
      </w:r>
      <w:proofErr w:type="gramStart"/>
      <w:r>
        <w:rPr>
          <w:rFonts w:ascii="Arial" w:eastAsia="Arial" w:hAnsi="Arial" w:cs="Arial"/>
          <w:color w:val="33BEF2"/>
        </w:rPr>
        <w:t>…….</w:t>
      </w:r>
      <w:proofErr w:type="gramEnd"/>
      <w:r>
        <w:rPr>
          <w:rFonts w:ascii="Arial" w:eastAsia="Arial" w:hAnsi="Arial" w:cs="Arial"/>
          <w:color w:val="33BEF2"/>
        </w:rPr>
        <w:t>.…</w:t>
      </w:r>
      <w:r>
        <w:rPr>
          <w:rFonts w:ascii="Arial" w:eastAsia="Arial" w:hAnsi="Arial" w:cs="Arial"/>
          <w:sz w:val="24"/>
          <w:szCs w:val="24"/>
        </w:rPr>
        <w:t xml:space="preserve"> reakce se organické škodliviny rozpadají. </w:t>
      </w:r>
    </w:p>
    <w:p w:rsidR="00382B6A" w:rsidRDefault="00382B6A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416C16" w:rsidRDefault="00416C16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  <w:sectPr w:rsidR="00416C1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82B6A" w:rsidRDefault="00CE31AC">
      <w:pPr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Kde se používá oxid titaničitý?</w:t>
      </w:r>
    </w:p>
    <w:p w:rsidR="00382B6A" w:rsidRDefault="00CE31AC">
      <w:pPr>
        <w:spacing w:line="480" w:lineRule="auto"/>
        <w:ind w:left="720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B6A" w:rsidRDefault="00382B6A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82B6A" w:rsidRDefault="00CE31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382B6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</w:t>
      </w:r>
      <w:r>
        <w:rPr>
          <w:rFonts w:ascii="Arial" w:eastAsia="Arial" w:hAnsi="Arial" w:cs="Arial"/>
          <w:b/>
          <w:color w:val="F030A1"/>
          <w:sz w:val="28"/>
          <w:szCs w:val="28"/>
        </w:rPr>
        <w:t>ou naučil(a):</w:t>
      </w:r>
    </w:p>
    <w:p w:rsidR="00382B6A" w:rsidRDefault="00CE31A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382B6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B6A" w:rsidRDefault="00382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B6A" w:rsidRDefault="00382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B6A" w:rsidRDefault="00382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B6A" w:rsidRDefault="00382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B6A" w:rsidRDefault="00382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B6A" w:rsidRDefault="00382B6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82B6A" w:rsidRDefault="00CE31AC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Arial" w:eastAsia="Arial" w:hAnsi="Arial" w:cs="Arial"/>
          <w:noProof/>
          <w:color w:val="33BEF2"/>
        </w:rPr>
        <w:drawing>
          <wp:inline distT="114300" distB="114300" distL="114300" distR="114300">
            <wp:extent cx="1157288" cy="396331"/>
            <wp:effectExtent l="0" t="0" r="0" b="0"/>
            <wp:docPr id="6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396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Autor:</w:t>
      </w:r>
      <w:r>
        <w:rPr>
          <w:rFonts w:ascii="Times New Roman" w:eastAsia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C13765">
        <w:rPr>
          <w:rFonts w:ascii="Times New Roman" w:eastAsia="Times New Roman" w:hAnsi="Times New Roman" w:cs="Times New Roman"/>
          <w:sz w:val="20"/>
          <w:szCs w:val="20"/>
          <w:highlight w:val="white"/>
        </w:rPr>
        <w:t>Markéta Tomandlová</w:t>
      </w:r>
    </w:p>
    <w:p w:rsidR="00382B6A" w:rsidRDefault="00CE31AC">
      <w:pPr>
        <w:spacing w:before="240"/>
        <w:rPr>
          <w:rFonts w:ascii="Arial" w:eastAsia="Arial" w:hAnsi="Arial" w:cs="Arial"/>
          <w:color w:val="33BEF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382B6A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1AC" w:rsidRDefault="00CE31AC">
      <w:pPr>
        <w:spacing w:after="0" w:line="240" w:lineRule="auto"/>
      </w:pPr>
      <w:r>
        <w:separator/>
      </w:r>
    </w:p>
  </w:endnote>
  <w:endnote w:type="continuationSeparator" w:id="0">
    <w:p w:rsidR="00CE31AC" w:rsidRDefault="00CE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6A" w:rsidRDefault="00382B6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7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382B6A">
      <w:tc>
        <w:tcPr>
          <w:tcW w:w="3485" w:type="dxa"/>
        </w:tcPr>
        <w:p w:rsidR="00382B6A" w:rsidRDefault="00382B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382B6A" w:rsidRDefault="00382B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382B6A" w:rsidRDefault="00382B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382B6A" w:rsidRDefault="00CE31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6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1AC" w:rsidRDefault="00CE31AC">
      <w:pPr>
        <w:spacing w:after="0" w:line="240" w:lineRule="auto"/>
      </w:pPr>
      <w:r>
        <w:separator/>
      </w:r>
    </w:p>
  </w:footnote>
  <w:footnote w:type="continuationSeparator" w:id="0">
    <w:p w:rsidR="00CE31AC" w:rsidRDefault="00CE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6A" w:rsidRDefault="00382B6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6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382B6A">
      <w:trPr>
        <w:trHeight w:val="1278"/>
      </w:trPr>
      <w:tc>
        <w:tcPr>
          <w:tcW w:w="10455" w:type="dxa"/>
        </w:tcPr>
        <w:p w:rsidR="00382B6A" w:rsidRDefault="00CE31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6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82B6A" w:rsidRDefault="00382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6A" w:rsidRDefault="00CE31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6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253E9"/>
    <w:multiLevelType w:val="multilevel"/>
    <w:tmpl w:val="B3728C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625D"/>
    <w:multiLevelType w:val="multilevel"/>
    <w:tmpl w:val="9A505C2C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5F10B4"/>
    <w:multiLevelType w:val="multilevel"/>
    <w:tmpl w:val="F0800E58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6A"/>
    <w:rsid w:val="00377608"/>
    <w:rsid w:val="00382B6A"/>
    <w:rsid w:val="00416C16"/>
    <w:rsid w:val="00A93E80"/>
    <w:rsid w:val="00C13765"/>
    <w:rsid w:val="00C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AE67"/>
  <w15:docId w15:val="{362609A1-30E7-4A45-B94D-D4BDF39D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0934-svetlem-proti-spin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S6YvHTwyZ6LbAjZgMgWpXYyMPg==">CgMxLjAyCGguZ2pkZ3hzMghoLmdqZGd4czgAciExZzFHU0VRNkFla1BfTHcyYUlFZ05IektYMlc3bHdKX0g=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4</cp:revision>
  <dcterms:created xsi:type="dcterms:W3CDTF">2022-03-10T21:57:00Z</dcterms:created>
  <dcterms:modified xsi:type="dcterms:W3CDTF">2023-10-03T10:35:00Z</dcterms:modified>
</cp:coreProperties>
</file>