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820" w:rsidRDefault="00231820">
      <w:pPr>
        <w:widowControl w:val="0"/>
        <w:spacing w:after="0" w:line="276" w:lineRule="auto"/>
      </w:pPr>
    </w:p>
    <w:p w:rsidR="00231820" w:rsidRDefault="00231820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231820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Červené zelí jako indikátor pH</w:t>
      </w:r>
    </w:p>
    <w:p w:rsidR="00231820" w:rsidRDefault="00231820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 xml:space="preserve">žáky </w:t>
      </w: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stupně základních škol. Jeho cílem je seznámit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červeným zelím jako indikátorem pH a </w:t>
      </w:r>
      <w:r>
        <w:rPr>
          <w:rFonts w:ascii="Arial" w:hAnsi="Arial" w:cs="Arial"/>
          <w:sz w:val="24"/>
          <w:szCs w:val="24"/>
        </w:rPr>
        <w:t xml:space="preserve">slouží i pro </w:t>
      </w:r>
      <w:r>
        <w:rPr>
          <w:rFonts w:ascii="Arial" w:hAnsi="Arial" w:cs="Arial"/>
          <w:sz w:val="24"/>
          <w:szCs w:val="24"/>
        </w:rPr>
        <w:t>zopakov</w:t>
      </w:r>
      <w:r>
        <w:rPr>
          <w:rFonts w:ascii="Arial" w:hAnsi="Arial" w:cs="Arial"/>
          <w:sz w:val="24"/>
          <w:szCs w:val="24"/>
        </w:rPr>
        <w:t>ání</w:t>
      </w:r>
      <w:r>
        <w:rPr>
          <w:rFonts w:ascii="Arial" w:hAnsi="Arial" w:cs="Arial"/>
          <w:sz w:val="24"/>
          <w:szCs w:val="24"/>
        </w:rPr>
        <w:t xml:space="preserve"> další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pojm</w:t>
      </w:r>
      <w:r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související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pH.</w:t>
      </w:r>
    </w:p>
    <w:p w:rsidR="00231820" w:rsidRDefault="00231820">
      <w:pPr>
        <w:numPr>
          <w:ilvl w:val="0"/>
          <w:numId w:val="2"/>
        </w:numPr>
        <w:ind w:left="357" w:hanging="357"/>
      </w:pPr>
      <w:hyperlink r:id="rId10"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Pokus: Červené zelí jako indikátor pH</w:t>
        </w:r>
      </w:hyperlink>
    </w:p>
    <w:p w:rsidR="00231820" w:rsidRDefault="00231820">
      <w:pPr>
        <w:sectPr w:rsidR="00231820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231820" w:rsidRDefault="00231820">
      <w:pPr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Jak barví roztok šťávy z</w:t>
      </w: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červené</w:t>
      </w:r>
      <w:r>
        <w:rPr>
          <w:rFonts w:ascii="Arial" w:hAnsi="Arial" w:cs="Arial"/>
          <w:b/>
          <w:bCs/>
          <w:sz w:val="24"/>
          <w:szCs w:val="24"/>
        </w:rPr>
        <w:t>ho</w:t>
      </w:r>
      <w:r>
        <w:rPr>
          <w:rFonts w:ascii="Arial" w:hAnsi="Arial" w:cs="Arial"/>
          <w:b/>
          <w:bCs/>
          <w:sz w:val="24"/>
          <w:szCs w:val="24"/>
        </w:rPr>
        <w:t xml:space="preserve"> zelí roztoky s</w:t>
      </w: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kyselým pH?</w:t>
      </w:r>
    </w:p>
    <w:p w:rsidR="00231820" w:rsidRDefault="00231820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žluta</w:t>
      </w:r>
    </w:p>
    <w:p w:rsidR="00231820" w:rsidRDefault="00231820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modra</w:t>
      </w:r>
    </w:p>
    <w:p w:rsidR="00231820" w:rsidRDefault="00231820">
      <w:pPr>
        <w:numPr>
          <w:ilvl w:val="1"/>
          <w:numId w:val="1"/>
        </w:numPr>
        <w:spacing w:after="0" w:line="240" w:lineRule="auto"/>
        <w:ind w:left="1434" w:right="403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růžova</w:t>
      </w:r>
    </w:p>
    <w:p w:rsidR="00231820" w:rsidRDefault="00231820">
      <w:pPr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231820" w:rsidRDefault="00231820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Spojte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31820" w:rsidRDefault="00231820">
      <w:pPr>
        <w:spacing w:line="240" w:lineRule="auto"/>
        <w:ind w:left="720" w:right="401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kyselé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  <w:r>
        <w:rPr>
          <w:rFonts w:ascii="Arial" w:hAnsi="Arial" w:cs="Arial"/>
          <w:sz w:val="24"/>
          <w:szCs w:val="24"/>
        </w:rPr>
        <w:t xml:space="preserve"> = 7</w:t>
      </w:r>
    </w:p>
    <w:p w:rsidR="00231820" w:rsidRDefault="00231820">
      <w:pPr>
        <w:spacing w:line="240" w:lineRule="auto"/>
        <w:ind w:left="720" w:right="401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neutrální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&lt; 7</w:t>
      </w:r>
      <w:proofErr w:type="gramEnd"/>
    </w:p>
    <w:p w:rsidR="00231820" w:rsidRDefault="00231820">
      <w:pPr>
        <w:spacing w:line="240" w:lineRule="auto"/>
        <w:ind w:left="720" w:right="401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zásadité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pH</w:t>
      </w:r>
      <w:proofErr w:type="spellEnd"/>
      <w:r>
        <w:rPr>
          <w:rFonts w:ascii="Arial" w:hAnsi="Arial" w:cs="Arial"/>
          <w:sz w:val="24"/>
          <w:szCs w:val="24"/>
        </w:rPr>
        <w:t xml:space="preserve"> &gt;</w:t>
      </w:r>
      <w:proofErr w:type="gramEnd"/>
      <w:r>
        <w:rPr>
          <w:rFonts w:ascii="Arial" w:hAnsi="Arial" w:cs="Arial"/>
          <w:sz w:val="24"/>
          <w:szCs w:val="24"/>
        </w:rPr>
        <w:t xml:space="preserve"> 7</w:t>
      </w:r>
    </w:p>
    <w:p w:rsidR="00231820" w:rsidRDefault="00231820">
      <w:pPr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231820" w:rsidRDefault="00231820">
      <w:pPr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Jaké jiné indikátory pH znáte?</w:t>
      </w:r>
    </w:p>
    <w:p w:rsidR="00231820" w:rsidRDefault="00231820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  <w:sectPr w:rsidR="00231820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1820" w:rsidRDefault="00231820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Určete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jaké budou mít dané látky pH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31820" w:rsidRDefault="00231820">
      <w:pPr>
        <w:spacing w:line="24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mýdlo</w:t>
      </w:r>
    </w:p>
    <w:p w:rsidR="00231820" w:rsidRDefault="00231820">
      <w:pPr>
        <w:spacing w:line="24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limonáda</w:t>
      </w:r>
    </w:p>
    <w:p w:rsidR="00231820" w:rsidRDefault="00231820">
      <w:pPr>
        <w:spacing w:line="24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roztok kyseliny chlorovodíkové</w:t>
      </w:r>
    </w:p>
    <w:p w:rsidR="00231820" w:rsidRDefault="00231820">
      <w:pPr>
        <w:spacing w:line="24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ocet</w:t>
      </w:r>
    </w:p>
    <w:p w:rsidR="00231820" w:rsidRDefault="00231820">
      <w:pPr>
        <w:spacing w:line="24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roztok hydroxidu draselného</w:t>
      </w:r>
    </w:p>
    <w:p w:rsidR="00231820" w:rsidRDefault="00231820">
      <w:pPr>
        <w:spacing w:line="24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krev</w:t>
      </w:r>
    </w:p>
    <w:p w:rsidR="00231820" w:rsidRDefault="00231820">
      <w:pPr>
        <w:spacing w:line="24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káva</w:t>
      </w:r>
    </w:p>
    <w:p w:rsidR="00231820" w:rsidRDefault="00231820">
      <w:pPr>
        <w:spacing w:line="24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hašené vápno</w:t>
      </w:r>
    </w:p>
    <w:p w:rsidR="00231820" w:rsidRDefault="00231820">
      <w:pPr>
        <w:rPr>
          <w:rFonts w:ascii="Arial" w:hAnsi="Arial" w:cs="Arial"/>
          <w:sz w:val="24"/>
          <w:szCs w:val="24"/>
        </w:rPr>
      </w:pPr>
      <w:r>
        <w:br w:type="page"/>
      </w:r>
    </w:p>
    <w:p w:rsidR="00231820" w:rsidRDefault="00231820">
      <w:pPr>
        <w:rPr>
          <w:rFonts w:ascii="Arial" w:hAnsi="Arial" w:cs="Arial"/>
          <w:b/>
          <w:bCs/>
          <w:color w:val="F030A1"/>
          <w:sz w:val="28"/>
          <w:szCs w:val="28"/>
        </w:rPr>
        <w:sectPr w:rsidR="00231820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231820" w:rsidRDefault="00231820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231820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1820" w:rsidRDefault="00231820">
      <w:pPr>
        <w:rPr>
          <w:rFonts w:ascii="Times New Roman" w:hAnsi="Times New Roman" w:cs="Times New Roman"/>
          <w:sz w:val="24"/>
          <w:szCs w:val="24"/>
        </w:rPr>
      </w:pPr>
    </w:p>
    <w:p w:rsidR="00231820" w:rsidRDefault="00231820">
      <w:pPr>
        <w:rPr>
          <w:rFonts w:ascii="Times New Roman" w:hAnsi="Times New Roman" w:cs="Times New Roman"/>
          <w:sz w:val="24"/>
          <w:szCs w:val="24"/>
        </w:rPr>
      </w:pPr>
    </w:p>
    <w:p w:rsidR="00231820" w:rsidRDefault="00231820">
      <w:pPr>
        <w:rPr>
          <w:rFonts w:ascii="Times New Roman" w:hAnsi="Times New Roman" w:cs="Times New Roman"/>
          <w:sz w:val="24"/>
          <w:szCs w:val="24"/>
        </w:rPr>
      </w:pPr>
    </w:p>
    <w:p w:rsidR="00231820" w:rsidRDefault="00231820">
      <w:pPr>
        <w:rPr>
          <w:rFonts w:ascii="Times New Roman" w:hAnsi="Times New Roman" w:cs="Times New Roman"/>
          <w:sz w:val="24"/>
          <w:szCs w:val="24"/>
        </w:rPr>
      </w:pPr>
    </w:p>
    <w:p w:rsidR="00231820" w:rsidRDefault="00231820">
      <w:pPr>
        <w:rPr>
          <w:rFonts w:ascii="Times New Roman" w:hAnsi="Times New Roman" w:cs="Times New Roman"/>
          <w:sz w:val="24"/>
          <w:szCs w:val="24"/>
        </w:rPr>
      </w:pPr>
    </w:p>
    <w:p w:rsidR="00231820" w:rsidRDefault="00231820">
      <w:pPr>
        <w:rPr>
          <w:rFonts w:ascii="Times New Roman" w:hAnsi="Times New Roman" w:cs="Times New Roman"/>
          <w:sz w:val="24"/>
          <w:szCs w:val="24"/>
        </w:rPr>
      </w:pPr>
    </w:p>
    <w:p w:rsidR="00231820" w:rsidRDefault="00231820">
      <w:pPr>
        <w:rPr>
          <w:rFonts w:ascii="Times New Roman" w:hAnsi="Times New Roman" w:cs="Times New Roman"/>
          <w:sz w:val="24"/>
          <w:szCs w:val="24"/>
        </w:rPr>
      </w:pPr>
    </w:p>
    <w:p w:rsidR="00231820" w:rsidRDefault="00231820">
      <w:pPr>
        <w:rPr>
          <w:rFonts w:ascii="Times New Roman" w:hAnsi="Times New Roman" w:cs="Times New Roman"/>
          <w:sz w:val="24"/>
          <w:szCs w:val="24"/>
        </w:rPr>
      </w:pPr>
    </w:p>
    <w:p w:rsidR="00231820" w:rsidRDefault="00231820">
      <w:pPr>
        <w:rPr>
          <w:rFonts w:ascii="Times New Roman" w:hAnsi="Times New Roman" w:cs="Times New Roman"/>
          <w:sz w:val="24"/>
          <w:szCs w:val="24"/>
        </w:rPr>
      </w:pPr>
    </w:p>
    <w:p w:rsidR="00231820" w:rsidRDefault="00231820">
      <w:pPr>
        <w:rPr>
          <w:rFonts w:ascii="Times New Roman" w:hAnsi="Times New Roman" w:cs="Times New Roman"/>
          <w:sz w:val="24"/>
          <w:szCs w:val="24"/>
        </w:rPr>
      </w:pPr>
    </w:p>
    <w:p w:rsidR="00231820" w:rsidRDefault="00231820">
      <w:pPr>
        <w:rPr>
          <w:rFonts w:ascii="Times New Roman" w:hAnsi="Times New Roman" w:cs="Times New Roman"/>
          <w:sz w:val="24"/>
          <w:szCs w:val="24"/>
        </w:rPr>
      </w:pPr>
    </w:p>
    <w:p w:rsidR="00231820" w:rsidRDefault="002318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1820" w:rsidRDefault="00231820">
      <w:pPr>
        <w:rPr>
          <w:rFonts w:ascii="Times New Roman" w:hAnsi="Times New Roman" w:cs="Times New Roman"/>
          <w:sz w:val="24"/>
          <w:szCs w:val="24"/>
        </w:rPr>
      </w:pPr>
    </w:p>
    <w:p w:rsidR="00231820" w:rsidRDefault="00231820">
      <w:pPr>
        <w:rPr>
          <w:rFonts w:ascii="Times New Roman" w:hAnsi="Times New Roman" w:cs="Times New Roman"/>
          <w:sz w:val="24"/>
          <w:szCs w:val="24"/>
        </w:rPr>
      </w:pPr>
    </w:p>
    <w:p w:rsidR="00231820" w:rsidRDefault="00DE638C">
      <w:pPr>
        <w:rPr>
          <w:rFonts w:ascii="Times New Roman" w:hAnsi="Times New Roman" w:cs="Times New Roman"/>
          <w:sz w:val="20"/>
          <w:szCs w:val="20"/>
          <w:highlight w:val="white"/>
        </w:rPr>
      </w:pPr>
      <w:bookmarkStart w:id="1" w:name="_heading_h_gjdgxs" w:colFirst="0" w:colLast="0"/>
      <w:bookmarkEnd w:id="1"/>
      <w:r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style="width:90pt;height:30.6pt;visibility:visible">
            <v:imagedata r:id="rId11" o:title=""/>
          </v:shape>
        </w:pict>
      </w:r>
      <w:r w:rsidR="00231820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231820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>
        <w:rPr>
          <w:rFonts w:ascii="Times New Roman" w:hAnsi="Times New Roman" w:cs="Times New Roman"/>
          <w:sz w:val="20"/>
          <w:szCs w:val="20"/>
          <w:highlight w:val="white"/>
        </w:rPr>
        <w:t>Tomandlová Markéta</w:t>
      </w:r>
    </w:p>
    <w:p w:rsidR="00231820" w:rsidRDefault="0023182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231820" w:rsidSect="00EE2FA6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939" w:rsidRDefault="00DE0939" w:rsidP="00EE2FA6">
      <w:pPr>
        <w:spacing w:after="0" w:line="240" w:lineRule="auto"/>
      </w:pPr>
      <w:r>
        <w:separator/>
      </w:r>
    </w:p>
  </w:endnote>
  <w:endnote w:type="continuationSeparator" w:id="0">
    <w:p w:rsidR="00DE0939" w:rsidRDefault="00DE0939" w:rsidP="00EE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820" w:rsidRDefault="00231820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231820">
      <w:tc>
        <w:tcPr>
          <w:tcW w:w="3485" w:type="dxa"/>
        </w:tcPr>
        <w:p w:rsidR="00231820" w:rsidRPr="00313EA3" w:rsidRDefault="00231820" w:rsidP="00313EA3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231820" w:rsidRPr="00313EA3" w:rsidRDefault="00231820" w:rsidP="00313EA3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231820" w:rsidRPr="00313EA3" w:rsidRDefault="00231820" w:rsidP="00313EA3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231820" w:rsidRDefault="00DE0939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939" w:rsidRDefault="00DE0939" w:rsidP="00EE2FA6">
      <w:pPr>
        <w:spacing w:after="0" w:line="240" w:lineRule="auto"/>
      </w:pPr>
      <w:r>
        <w:separator/>
      </w:r>
    </w:p>
  </w:footnote>
  <w:footnote w:type="continuationSeparator" w:id="0">
    <w:p w:rsidR="00DE0939" w:rsidRDefault="00DE0939" w:rsidP="00EE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820" w:rsidRDefault="00231820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231820">
      <w:trPr>
        <w:trHeight w:val="1278"/>
      </w:trPr>
      <w:tc>
        <w:tcPr>
          <w:tcW w:w="10455" w:type="dxa"/>
        </w:tcPr>
        <w:p w:rsidR="00231820" w:rsidRPr="00313EA3" w:rsidRDefault="00DE638C" w:rsidP="00313EA3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231820" w:rsidRDefault="0023182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820" w:rsidRDefault="00DE0939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D5C1D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FE449A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2" w15:restartNumberingAfterBreak="0">
    <w:nsid w:val="6AF502D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2FA6"/>
    <w:rsid w:val="00231820"/>
    <w:rsid w:val="00313EA3"/>
    <w:rsid w:val="00404A00"/>
    <w:rsid w:val="00A60BCD"/>
    <w:rsid w:val="00DE0939"/>
    <w:rsid w:val="00DE638C"/>
    <w:rsid w:val="00EA2656"/>
    <w:rsid w:val="00EE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82DDA3"/>
  <w15:docId w15:val="{E8475AF2-F35D-4079-B9AC-08A1EF9F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2FA6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EE2FA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EE2FA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EE2FA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EE2FA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EE2FA6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EE2FA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920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0920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920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0920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0920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0920DF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EE2FA6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EE2FA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0920D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8">
    <w:name w:val="normal8"/>
    <w:uiPriority w:val="99"/>
    <w:rsid w:val="00EE2FA6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EE2FA6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EE2FA6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EE2FA6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EE2FA6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EE2FA6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EE2FA6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EE2FA6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EE2FA6"/>
  </w:style>
  <w:style w:type="paragraph" w:styleId="Zhlav">
    <w:name w:val="header"/>
    <w:basedOn w:val="Normln"/>
    <w:link w:val="ZhlavChar"/>
    <w:uiPriority w:val="99"/>
    <w:rsid w:val="00EE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0920DF"/>
  </w:style>
  <w:style w:type="character" w:customStyle="1" w:styleId="ZpatChar">
    <w:name w:val="Zápatí Char"/>
    <w:basedOn w:val="Standardnpsmoodstavce"/>
    <w:link w:val="Zpat"/>
    <w:uiPriority w:val="99"/>
    <w:locked/>
    <w:rsid w:val="00EE2FA6"/>
  </w:style>
  <w:style w:type="paragraph" w:styleId="Zpat">
    <w:name w:val="footer"/>
    <w:basedOn w:val="Normln"/>
    <w:link w:val="ZpatChar"/>
    <w:uiPriority w:val="99"/>
    <w:rsid w:val="00EE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0920DF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EE2FA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0920DF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EE2F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4">
    <w:name w:val="Styl24"/>
    <w:uiPriority w:val="99"/>
    <w:rsid w:val="00EE2F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EE2F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EE2F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EE2F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EE2F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EE2F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EE2F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EE2F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EE2F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EE2F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EE2F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EE2F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EE2F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EE2F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EE2F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EE2F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EE2F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EE2F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EE2F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EE2F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EE2F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EE2F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EE2F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EE2F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EA26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920DF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3506-pokus-cervene-zeli-jako-ph-indikato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Červené zelí jako indikátor pH </dc:title>
  <dc:subject/>
  <dc:creator>Jan Johanovský</dc:creator>
  <cp:keywords/>
  <dc:description/>
  <cp:lastModifiedBy>Čtvrtečková Lenka Ext.</cp:lastModifiedBy>
  <cp:revision>4</cp:revision>
  <dcterms:created xsi:type="dcterms:W3CDTF">2024-02-23T15:51:00Z</dcterms:created>
  <dcterms:modified xsi:type="dcterms:W3CDTF">2024-04-09T07:49:00Z</dcterms:modified>
</cp:coreProperties>
</file>