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F5" w:rsidRDefault="007401F5">
      <w:pPr>
        <w:keepNext/>
        <w:widowControl w:val="0"/>
        <w:spacing w:after="0" w:line="276" w:lineRule="auto"/>
      </w:pPr>
    </w:p>
    <w:p w:rsidR="007401F5" w:rsidRDefault="007401F5">
      <w:pPr>
        <w:keepNext/>
        <w:widowControl w:val="0"/>
        <w:spacing w:after="0" w:line="276" w:lineRule="auto"/>
      </w:pPr>
    </w:p>
    <w:p w:rsidR="007401F5" w:rsidRDefault="00BF3C4B">
      <w:pPr>
        <w:keepNext/>
        <w:rPr>
          <w:rFonts w:ascii="Arial" w:eastAsia="Arial" w:hAnsi="Arial" w:cs="Arial"/>
          <w:b/>
          <w:i/>
          <w:color w:val="000000"/>
          <w:sz w:val="44"/>
          <w:szCs w:val="44"/>
          <w:highlight w:val="white"/>
        </w:rPr>
      </w:pPr>
      <w:r>
        <w:rPr>
          <w:rFonts w:ascii="Arial" w:eastAsia="Arial" w:hAnsi="Arial" w:cs="Arial"/>
          <w:b/>
          <w:sz w:val="44"/>
          <w:szCs w:val="44"/>
        </w:rPr>
        <w:t>Polyakrylát sodný</w:t>
      </w:r>
    </w:p>
    <w:p w:rsidR="007401F5" w:rsidRDefault="007401F5">
      <w:pPr>
        <w:pStyle w:val="LO-normal"/>
        <w:sectPr w:rsidR="007401F5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7401F5" w:rsidRDefault="00BF3C4B" w:rsidP="007F30B9">
      <w:pPr>
        <w:keepNext/>
        <w:spacing w:before="240" w:after="120"/>
        <w:ind w:right="131"/>
        <w:jc w:val="both"/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>středních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škol a jeho cílem je seznámit </w:t>
      </w:r>
      <w:r w:rsidR="007F30B9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s </w:t>
      </w:r>
      <w:hyperlink r:id="rId11">
        <w:r>
          <w:rPr>
            <w:rFonts w:ascii="Arial" w:eastAsia="Arial" w:hAnsi="Arial" w:cs="Arial"/>
            <w:sz w:val="24"/>
            <w:szCs w:val="24"/>
          </w:rPr>
          <w:t>vlastnostmi, strukturou a využitím polyakrylátu sodného.</w:t>
        </w:r>
      </w:hyperlink>
    </w:p>
    <w:p w:rsidR="007401F5" w:rsidRDefault="00064C3D">
      <w:pPr>
        <w:keepNext/>
        <w:numPr>
          <w:ilvl w:val="0"/>
          <w:numId w:val="3"/>
        </w:numPr>
        <w:ind w:left="357" w:hanging="357"/>
      </w:pP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fldChar w:fldCharType="begin"/>
      </w:r>
      <w:r w:rsidR="00923A50"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instrText xml:space="preserve">HYPERLINK "https://edu.ceskatelevize.cz/video/9808-superabsorbent" \h </w:instrText>
      </w:r>
      <w:r w:rsidR="00923A50"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</w:r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fldChar w:fldCharType="separate"/>
      </w:r>
      <w:proofErr w:type="spellStart"/>
      <w:r w:rsidR="00BF3C4B"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t>Superabsorbent</w:t>
      </w:r>
      <w:proofErr w:type="spellEnd"/>
      <w:r>
        <w:rPr>
          <w:rStyle w:val="Internetovodkaz"/>
          <w:rFonts w:ascii="Arial" w:eastAsia="Arial" w:hAnsi="Arial" w:cs="Arial"/>
          <w:b/>
          <w:color w:val="FF3399"/>
          <w:sz w:val="32"/>
          <w:szCs w:val="32"/>
        </w:rPr>
        <w:fldChar w:fldCharType="end"/>
      </w:r>
      <w:bookmarkStart w:id="0" w:name="_GoBack"/>
      <w:bookmarkEnd w:id="0"/>
    </w:p>
    <w:p w:rsidR="007401F5" w:rsidRDefault="00064C3D">
      <w:r>
        <w:fldChar w:fldCharType="begin"/>
      </w:r>
      <w:r>
        <w:instrText xml:space="preserve"> HYPERLINK "https://edu.ceskatelevize.cz/video/3423-horeni-kyseliny-borite?vsrc=predmet&amp;vsrcid=chemie" \h </w:instrText>
      </w:r>
      <w:r>
        <w:fldChar w:fldCharType="separate"/>
      </w:r>
      <w:r w:rsidR="00BF3C4B">
        <w:t>_____________</w:t>
      </w:r>
      <w:r>
        <w:fldChar w:fldCharType="end"/>
      </w:r>
      <w:r w:rsidR="00BF3C4B">
        <w:rPr>
          <w:color w:val="F030A1"/>
        </w:rPr>
        <w:t>______________</w:t>
      </w:r>
      <w:r w:rsidR="00BF3C4B">
        <w:rPr>
          <w:color w:val="33BEF2"/>
        </w:rPr>
        <w:t>______________</w:t>
      </w:r>
      <w:r w:rsidR="00BF3C4B">
        <w:rPr>
          <w:color w:val="404040"/>
        </w:rPr>
        <w:t>_____________</w:t>
      </w:r>
    </w:p>
    <w:p w:rsidR="007401F5" w:rsidRDefault="007401F5">
      <w:pPr>
        <w:pStyle w:val="LO-normal"/>
        <w:sectPr w:rsidR="007401F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401F5" w:rsidRDefault="00BF3C4B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Jaký vzorec odpovídá monomerní jednotce polyakrylátu sodného?</w:t>
      </w:r>
    </w:p>
    <w:p w:rsidR="007401F5" w:rsidRDefault="00BF3C4B">
      <w:pPr>
        <w:keepNext/>
        <w:numPr>
          <w:ilvl w:val="0"/>
          <w:numId w:val="2"/>
        </w:numPr>
        <w:spacing w:line="240" w:lineRule="auto"/>
        <w:ind w:left="1077" w:right="403" w:hanging="357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[-CH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CH(</w:t>
      </w:r>
      <w:proofErr w:type="spellStart"/>
      <w:r>
        <w:rPr>
          <w:rFonts w:ascii="Arial" w:eastAsia="Arial" w:hAnsi="Arial" w:cs="Arial"/>
          <w:sz w:val="24"/>
          <w:szCs w:val="24"/>
        </w:rPr>
        <w:t>COONa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proofErr w:type="gramStart"/>
      <w:r>
        <w:rPr>
          <w:rFonts w:ascii="Arial" w:eastAsia="Arial" w:hAnsi="Arial" w:cs="Arial"/>
          <w:sz w:val="24"/>
          <w:szCs w:val="24"/>
        </w:rPr>
        <w:t>-]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n</w:t>
      </w:r>
      <w:proofErr w:type="gramEnd"/>
    </w:p>
    <w:p w:rsidR="007401F5" w:rsidRDefault="00BF3C4B">
      <w:pPr>
        <w:numPr>
          <w:ilvl w:val="0"/>
          <w:numId w:val="2"/>
        </w:numPr>
        <w:spacing w:line="24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[-CH(</w:t>
      </w:r>
      <w:proofErr w:type="spellStart"/>
      <w:r>
        <w:rPr>
          <w:rFonts w:ascii="Arial" w:eastAsia="Arial" w:hAnsi="Arial" w:cs="Arial"/>
          <w:sz w:val="24"/>
          <w:szCs w:val="24"/>
        </w:rPr>
        <w:t>COONa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  <w:proofErr w:type="gramStart"/>
      <w:r>
        <w:rPr>
          <w:rFonts w:ascii="Arial" w:eastAsia="Arial" w:hAnsi="Arial" w:cs="Arial"/>
          <w:sz w:val="24"/>
          <w:szCs w:val="24"/>
        </w:rPr>
        <w:t>-]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n</w:t>
      </w:r>
      <w:proofErr w:type="gramEnd"/>
    </w:p>
    <w:p w:rsidR="007401F5" w:rsidRDefault="00BF3C4B">
      <w:pPr>
        <w:numPr>
          <w:ilvl w:val="0"/>
          <w:numId w:val="2"/>
        </w:numPr>
        <w:spacing w:line="48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[-CH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>CH(COOH)</w:t>
      </w:r>
      <w:proofErr w:type="gramStart"/>
      <w:r>
        <w:rPr>
          <w:rFonts w:ascii="Arial" w:eastAsia="Arial" w:hAnsi="Arial" w:cs="Arial"/>
          <w:sz w:val="24"/>
          <w:szCs w:val="24"/>
        </w:rPr>
        <w:t>-]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n</w:t>
      </w:r>
      <w:proofErr w:type="gramEnd"/>
    </w:p>
    <w:p w:rsidR="007401F5" w:rsidRDefault="00BF3C4B">
      <w:pPr>
        <w:keepNext/>
        <w:numPr>
          <w:ilvl w:val="0"/>
          <w:numId w:val="1"/>
        </w:numPr>
        <w:spacing w:line="240" w:lineRule="auto"/>
        <w:ind w:right="401"/>
      </w:pPr>
      <w:bookmarkStart w:id="1" w:name="_heading=h.gjdgxs"/>
      <w:bookmarkEnd w:id="1"/>
      <w:r>
        <w:rPr>
          <w:rFonts w:ascii="Arial" w:eastAsia="Arial" w:hAnsi="Arial" w:cs="Arial"/>
          <w:b/>
          <w:sz w:val="24"/>
          <w:szCs w:val="24"/>
        </w:rPr>
        <w:t>Nakreslete strukturní vzorec monomerní jednotky polyakrylátu sodného:</w:t>
      </w:r>
    </w:p>
    <w:p w:rsidR="007401F5" w:rsidRDefault="007401F5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7401F5" w:rsidRDefault="007401F5">
      <w:pPr>
        <w:keepNext/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</w:rPr>
      </w:pPr>
    </w:p>
    <w:p w:rsidR="007401F5" w:rsidRDefault="007401F5">
      <w:pPr>
        <w:keepNext/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</w:rPr>
      </w:pPr>
    </w:p>
    <w:p w:rsidR="007401F5" w:rsidRDefault="007401F5">
      <w:pPr>
        <w:keepNext/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</w:rPr>
      </w:pPr>
    </w:p>
    <w:p w:rsidR="007401F5" w:rsidRDefault="007401F5">
      <w:pPr>
        <w:keepNext/>
        <w:spacing w:line="480" w:lineRule="auto"/>
        <w:ind w:left="284" w:right="-11" w:firstLine="424"/>
        <w:jc w:val="both"/>
        <w:rPr>
          <w:rFonts w:ascii="Arial" w:eastAsia="Arial" w:hAnsi="Arial" w:cs="Arial"/>
          <w:color w:val="33BEF2"/>
        </w:rPr>
      </w:pPr>
    </w:p>
    <w:p w:rsidR="007401F5" w:rsidRDefault="00BF3C4B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Vysvětlete absorpční vlastnosti polyakrylátu sodného.</w:t>
      </w:r>
    </w:p>
    <w:p w:rsidR="007401F5" w:rsidRDefault="00BF3C4B">
      <w:pPr>
        <w:spacing w:line="480" w:lineRule="auto"/>
        <w:ind w:left="284" w:right="-11"/>
        <w:jc w:val="both"/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7401F5" w:rsidRDefault="007401F5">
      <w:pP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</w:pPr>
    </w:p>
    <w:p w:rsidR="007401F5" w:rsidRDefault="00BF3C4B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Kde se používá polyakrylát sodný?</w:t>
      </w:r>
    </w:p>
    <w:p w:rsidR="007401F5" w:rsidRDefault="00BF3C4B">
      <w:pPr>
        <w:keepNext/>
        <w:spacing w:line="480" w:lineRule="auto"/>
        <w:ind w:left="284" w:right="-11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1F5" w:rsidRDefault="007401F5">
      <w:pPr>
        <w:pStyle w:val="LO-normal"/>
        <w:sectPr w:rsidR="007401F5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7401F5" w:rsidRDefault="007401F5">
      <w:pPr>
        <w:keepNext/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7401F5" w:rsidRDefault="007401F5">
      <w:pPr>
        <w:keepNext/>
        <w:rPr>
          <w:rFonts w:ascii="Arial" w:eastAsia="Arial" w:hAnsi="Arial" w:cs="Arial"/>
          <w:b/>
          <w:color w:val="F030A1"/>
          <w:sz w:val="28"/>
          <w:szCs w:val="28"/>
        </w:rPr>
      </w:pPr>
    </w:p>
    <w:p w:rsidR="007401F5" w:rsidRDefault="00BF3C4B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7401F5" w:rsidRDefault="007401F5">
      <w:pPr>
        <w:pStyle w:val="LO-normal"/>
        <w:sectPr w:rsidR="007401F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7401F5" w:rsidRDefault="00BF3C4B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4293870</wp:posOffset>
                </wp:positionV>
                <wp:extent cx="6923405" cy="106934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800" cy="106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401F5" w:rsidRDefault="00BF3C4B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7401F5" w:rsidRDefault="007401F5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rázek1" o:spid="_x0000_s1026" style="position:absolute;left:0;text-align:left;margin-left:-8.15pt;margin-top:338.1pt;width:545.15pt;height:84.2pt;z-index:5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" filled="f" stroked="f">
                <v:textbox>
                  <w:txbxContent>
                    <w:p w:rsidR="007401F5" w:rsidRDefault="00BF3C4B">
                      <w:pPr>
                        <w:pStyle w:val="Obsahrmce"/>
                        <w:spacing w:line="258" w:lineRule="exact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7401F5" w:rsidRDefault="007401F5">
                      <w:pPr>
                        <w:pStyle w:val="Obsahrmce"/>
                        <w:spacing w:line="258" w:lineRule="exac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1F5" w:rsidRDefault="007401F5">
      <w:pPr>
        <w:pStyle w:val="LO-normal"/>
        <w:sectPr w:rsidR="007401F5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BF3C4B" w:rsidRDefault="00BF3C4B"/>
    <w:sectPr w:rsidR="00BF3C4B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C3D" w:rsidRDefault="00064C3D">
      <w:pPr>
        <w:spacing w:after="0" w:line="240" w:lineRule="auto"/>
      </w:pPr>
      <w:r>
        <w:separator/>
      </w:r>
    </w:p>
  </w:endnote>
  <w:endnote w:type="continuationSeparator" w:id="0">
    <w:p w:rsidR="00064C3D" w:rsidRDefault="0006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1F5" w:rsidRDefault="007401F5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7401F5">
      <w:tc>
        <w:tcPr>
          <w:tcW w:w="3485" w:type="dxa"/>
          <w:shd w:val="clear" w:color="auto" w:fill="auto"/>
        </w:tcPr>
        <w:p w:rsidR="007401F5" w:rsidRDefault="007401F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7401F5" w:rsidRDefault="007401F5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7401F5" w:rsidRDefault="007401F5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7401F5" w:rsidRDefault="00BF3C4B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C3D" w:rsidRDefault="00064C3D">
      <w:pPr>
        <w:spacing w:after="0" w:line="240" w:lineRule="auto"/>
      </w:pPr>
      <w:r>
        <w:separator/>
      </w:r>
    </w:p>
  </w:footnote>
  <w:footnote w:type="continuationSeparator" w:id="0">
    <w:p w:rsidR="00064C3D" w:rsidRDefault="0006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1F5" w:rsidRDefault="007401F5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7401F5">
      <w:trPr>
        <w:trHeight w:val="1278"/>
      </w:trPr>
      <w:tc>
        <w:tcPr>
          <w:tcW w:w="10455" w:type="dxa"/>
          <w:shd w:val="clear" w:color="auto" w:fill="auto"/>
        </w:tcPr>
        <w:p w:rsidR="007401F5" w:rsidRDefault="00BF3C4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401F5" w:rsidRDefault="007401F5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1F5" w:rsidRDefault="00BF3C4B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54BA4"/>
    <w:multiLevelType w:val="multilevel"/>
    <w:tmpl w:val="1B4C7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466F5959"/>
    <w:multiLevelType w:val="multilevel"/>
    <w:tmpl w:val="D02806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3D24DF"/>
    <w:multiLevelType w:val="multilevel"/>
    <w:tmpl w:val="649E70F8"/>
    <w:lvl w:ilvl="0">
      <w:start w:val="1"/>
      <w:numFmt w:val="bullet"/>
      <w:lvlText w:val="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ind w:left="18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ind w:left="2520" w:hanging="1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2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ind w:left="39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ind w:left="4680" w:hanging="1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40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ind w:left="612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ind w:left="6840" w:hanging="180"/>
      </w:pPr>
      <w:rPr>
        <w:rFonts w:ascii="Wingdings" w:hAnsi="Wingdings" w:cs="Wingdings" w:hint="default"/>
      </w:rPr>
    </w:lvl>
  </w:abstractNum>
  <w:abstractNum w:abstractNumId="3" w15:restartNumberingAfterBreak="0">
    <w:nsid w:val="79476394"/>
    <w:multiLevelType w:val="multilevel"/>
    <w:tmpl w:val="E79CD706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1F5"/>
    <w:rsid w:val="00064C3D"/>
    <w:rsid w:val="007401F5"/>
    <w:rsid w:val="007F30B9"/>
    <w:rsid w:val="00923A50"/>
    <w:rsid w:val="00BF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6C576-3E40-4E05-9C7F-0D32EB28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C846FD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eastAsia="Noto Sans Symbols" w:hAnsi="Arial" w:cs="Noto Sans Symbols"/>
      <w:b/>
      <w:sz w:val="32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Podnadpis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3423-horeni-kyseliny-borite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7bwEY8IpO2w478d2xBIk+rIYWYA==">AMUW2mUFLCj8g7RLJ696x2+kYfWiPfz3feuifbxY4AQfxI6w8o9Hb9TboQmpLHk9PNH7ZyXDD+Chrhq7xGxwpXeOESwc5t3NWBl712tIxGA21j91CMTBJmjuyMzWl6zzykAOTL/FHhL6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Rybářová Ludmila</cp:lastModifiedBy>
  <cp:revision>3</cp:revision>
  <dcterms:created xsi:type="dcterms:W3CDTF">2021-10-07T18:41:00Z</dcterms:created>
  <dcterms:modified xsi:type="dcterms:W3CDTF">2023-01-03T11:58:00Z</dcterms:modified>
  <dc:language>cs-CZ</dc:language>
</cp:coreProperties>
</file>