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9" w:rsidRDefault="00BE4759">
      <w:pPr>
        <w:keepNext/>
        <w:widowControl w:val="0"/>
        <w:spacing w:after="0" w:line="276" w:lineRule="auto"/>
      </w:pPr>
    </w:p>
    <w:p w:rsidR="00BE4759" w:rsidRDefault="00BE4759">
      <w:pPr>
        <w:keepNext/>
        <w:widowControl w:val="0"/>
        <w:spacing w:after="0" w:line="276" w:lineRule="auto"/>
      </w:pPr>
    </w:p>
    <w:p w:rsidR="00BE4759" w:rsidRPr="007666BF" w:rsidRDefault="00FC681A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Měření času pomocí chemické reakce </w:t>
      </w:r>
      <w:r w:rsidR="007666BF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</w:t>
      </w:r>
      <w:r>
        <w:rPr>
          <w:rFonts w:ascii="Arial" w:eastAsia="Arial" w:hAnsi="Arial" w:cs="Arial"/>
          <w:b/>
          <w:sz w:val="44"/>
          <w:szCs w:val="44"/>
        </w:rPr>
        <w:t>šení</w:t>
      </w:r>
    </w:p>
    <w:p w:rsidR="00BE4759" w:rsidRDefault="00BE4759">
      <w:pPr>
        <w:pStyle w:val="LO-normal"/>
        <w:sectPr w:rsidR="00BE4759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E4759" w:rsidRDefault="00FC681A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středních škol a jeho cílem je poznat oscilační reakc</w:t>
      </w:r>
      <w:hyperlink r:id="rId12">
        <w:r>
          <w:rPr>
            <w:rFonts w:ascii="Arial" w:eastAsia="Arial" w:hAnsi="Arial" w:cs="Arial"/>
            <w:sz w:val="24"/>
            <w:szCs w:val="24"/>
          </w:rPr>
          <w:t>i.</w:t>
        </w:r>
      </w:hyperlink>
    </w:p>
    <w:p w:rsidR="00BE4759" w:rsidRDefault="00FC681A">
      <w:pPr>
        <w:keepNext/>
        <w:numPr>
          <w:ilvl w:val="0"/>
          <w:numId w:val="2"/>
        </w:numPr>
        <w:ind w:left="357" w:hanging="357"/>
      </w:pPr>
      <w:hyperlink r:id="rId13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Měření času pomocí chemické reakce</w:t>
        </w:r>
      </w:hyperlink>
    </w:p>
    <w:p w:rsidR="00BE4759" w:rsidRDefault="00FC681A">
      <w:hyperlink r:id="rId14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BE4759" w:rsidRDefault="00BE4759">
      <w:pPr>
        <w:pStyle w:val="LO-normal"/>
        <w:sectPr w:rsidR="00BE475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E4759" w:rsidRDefault="00FC681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Jaký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způsob měření času je nejpřesnější? Vyberte správnou odpově</w:t>
      </w:r>
      <w:r>
        <w:rPr>
          <w:rFonts w:ascii="Arial" w:eastAsia="Arial" w:hAnsi="Arial" w:cs="Arial"/>
          <w:b/>
          <w:sz w:val="24"/>
          <w:szCs w:val="24"/>
        </w:rPr>
        <w:t>ď:</w:t>
      </w:r>
    </w:p>
    <w:p w:rsidR="00BE4759" w:rsidRDefault="00FC681A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Měření času pomocí chemické oscilační reakce.</w:t>
      </w:r>
    </w:p>
    <w:p w:rsidR="00BE4759" w:rsidRDefault="00FC681A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Měření času pomocí slunečních hodin.</w:t>
      </w:r>
    </w:p>
    <w:p w:rsidR="00BE4759" w:rsidRDefault="00FC681A">
      <w:pPr>
        <w:keepNext/>
        <w:numPr>
          <w:ilvl w:val="1"/>
          <w:numId w:val="1"/>
        </w:numPr>
        <w:spacing w:line="240" w:lineRule="auto"/>
        <w:ind w:right="401"/>
        <w:rPr>
          <w:color w:val="FF3399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Měřen</w:t>
      </w:r>
      <w:r w:rsidR="007666BF"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í času pomocí atomových hodin.</w:t>
      </w:r>
    </w:p>
    <w:p w:rsidR="00BE4759" w:rsidRDefault="00BE475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E4759" w:rsidRDefault="00FC681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je důležité přesné vážení a odměřování reaktantů?</w:t>
      </w:r>
    </w:p>
    <w:p w:rsidR="00BE4759" w:rsidRDefault="00FC681A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V oscilační </w:t>
      </w:r>
      <w:r>
        <w:rPr>
          <w:rFonts w:ascii="Arial" w:eastAsia="Arial" w:hAnsi="Arial" w:cs="Arial"/>
          <w:color w:val="FF3399"/>
          <w:sz w:val="24"/>
          <w:szCs w:val="24"/>
        </w:rPr>
        <w:t>chemické reakci je důležité, aby všechny komponenty byly zastoupeny v přesném poměru. Změna koncentrace jednotlivých látek způsobí změnu barvy, pokud by byl například nějaké látky velký přebytek</w:t>
      </w:r>
      <w:r w:rsidR="007666BF">
        <w:rPr>
          <w:rFonts w:ascii="Arial" w:eastAsia="Arial" w:hAnsi="Arial" w:cs="Arial"/>
          <w:color w:val="FF3399"/>
          <w:sz w:val="24"/>
          <w:szCs w:val="24"/>
        </w:rPr>
        <w:t>,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oscilační reakce by nemusela probíhat.</w:t>
      </w:r>
    </w:p>
    <w:p w:rsidR="00BE4759" w:rsidRDefault="00FC681A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tabulku:</w:t>
      </w:r>
    </w:p>
    <w:p w:rsidR="00BE4759" w:rsidRDefault="00BE4759">
      <w:pPr>
        <w:pStyle w:val="LO-normal"/>
        <w:sectPr w:rsidR="00BE475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E4759" w:rsidRDefault="00BE4759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60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3114"/>
        <w:gridCol w:w="2976"/>
      </w:tblGrid>
      <w:tr w:rsidR="00BE4759">
        <w:trPr>
          <w:trHeight w:val="573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E4759" w:rsidRDefault="00FC681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E4759" w:rsidRDefault="00FC681A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</w:tr>
      <w:tr w:rsidR="00BE4759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jodičnan draselný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KI</w:t>
            </w:r>
          </w:p>
        </w:tc>
      </w:tr>
      <w:tr w:rsidR="00BE4759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kyselina malonová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32385</wp:posOffset>
                  </wp:positionV>
                  <wp:extent cx="953135" cy="428625"/>
                  <wp:effectExtent l="0" t="0" r="0" b="0"/>
                  <wp:wrapSquare wrapText="bothSides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4759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síran manganatý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  <w:vertAlign w:val="subscript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MnSO</w:t>
            </w:r>
            <w:r>
              <w:rPr>
                <w:rFonts w:ascii="Arial" w:eastAsia="Arial" w:hAnsi="Arial" w:cs="Arial"/>
                <w:b/>
                <w:color w:val="FF3399"/>
                <w:vertAlign w:val="subscript"/>
              </w:rPr>
              <w:t>4</w:t>
            </w:r>
          </w:p>
        </w:tc>
      </w:tr>
      <w:tr w:rsidR="00BE4759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peroxid vodíku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  <w:vertAlign w:val="subscript"/>
              </w:rPr>
              <w:t>2</w:t>
            </w:r>
          </w:p>
        </w:tc>
      </w:tr>
      <w:tr w:rsidR="00BE4759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kyselina sírová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4759" w:rsidRDefault="00FC681A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  <w:vertAlign w:val="subscript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H</w:t>
            </w:r>
            <w:r>
              <w:rPr>
                <w:rFonts w:ascii="Arial" w:eastAsia="Arial" w:hAnsi="Arial" w:cs="Arial"/>
                <w:b/>
                <w:color w:val="FF3399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color w:val="FF3399"/>
              </w:rPr>
              <w:t>SO</w:t>
            </w:r>
            <w:r>
              <w:rPr>
                <w:rFonts w:ascii="Arial" w:eastAsia="Arial" w:hAnsi="Arial" w:cs="Arial"/>
                <w:b/>
                <w:color w:val="FF3399"/>
                <w:vertAlign w:val="subscript"/>
              </w:rPr>
              <w:t>4</w:t>
            </w:r>
          </w:p>
        </w:tc>
      </w:tr>
    </w:tbl>
    <w:p w:rsidR="00BE4759" w:rsidRDefault="00BE4759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BE4759" w:rsidRDefault="00FC681A">
      <w:pP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  <w:r>
        <w:br w:type="page"/>
      </w:r>
    </w:p>
    <w:p w:rsidR="007666BF" w:rsidRDefault="00FC681A" w:rsidP="007666B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Vysvětlete, jak vzniká modré zbarvení reakční </w:t>
      </w:r>
      <w:r>
        <w:rPr>
          <w:rFonts w:ascii="Arial" w:eastAsia="Arial" w:hAnsi="Arial" w:cs="Arial"/>
          <w:b/>
          <w:sz w:val="24"/>
          <w:szCs w:val="24"/>
        </w:rPr>
        <w:t>směsi</w:t>
      </w:r>
      <w:r w:rsidR="007666BF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BE4759" w:rsidRPr="007666BF" w:rsidRDefault="00FC681A" w:rsidP="007666BF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  <w:sectPr w:rsidR="00BE4759" w:rsidRPr="007666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  <w:r>
        <w:rPr>
          <w:rFonts w:ascii="Arial" w:eastAsia="Arial" w:hAnsi="Arial" w:cs="Arial"/>
          <w:color w:val="FF3399"/>
          <w:sz w:val="24"/>
          <w:szCs w:val="24"/>
        </w:rPr>
        <w:t>Modré zbarvení je způsobeno reakcí škrobu s jodem, kd</w:t>
      </w:r>
      <w:r w:rsidR="007666BF">
        <w:rPr>
          <w:rFonts w:ascii="Arial" w:eastAsia="Arial" w:hAnsi="Arial" w:cs="Arial"/>
          <w:color w:val="FF3399"/>
          <w:sz w:val="24"/>
          <w:szCs w:val="24"/>
        </w:rPr>
        <w:t>y vzniká komplex škrobu a jodu.</w:t>
      </w:r>
      <w:bookmarkStart w:id="0" w:name="_GoBack"/>
      <w:bookmarkEnd w:id="0"/>
    </w:p>
    <w:p w:rsidR="00BE4759" w:rsidRDefault="00BE475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bookmarkStart w:id="1" w:name="_heading=h.gjdgxs"/>
      <w:bookmarkEnd w:id="1"/>
    </w:p>
    <w:p w:rsidR="00BE4759" w:rsidRDefault="00FC681A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7666BF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BE4759" w:rsidRDefault="00BE4759">
      <w:pPr>
        <w:pStyle w:val="LO-normal"/>
        <w:sectPr w:rsidR="00BE475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E4759" w:rsidRDefault="00FC681A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6075045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4759" w:rsidRDefault="00FC681A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</w:t>
                            </w:r>
                            <w:r>
                              <w:rPr>
                                <w:color w:val="000000"/>
                              </w:rPr>
                              <w:t>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BE4759" w:rsidRDefault="00BE475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25pt;margin-top:478.3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759" w:rsidRDefault="00BE4759">
      <w:pPr>
        <w:pStyle w:val="LO-normal"/>
        <w:sectPr w:rsidR="00BE475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C681A" w:rsidRDefault="00FC681A"/>
    <w:sectPr w:rsidR="00FC681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1A" w:rsidRDefault="00FC681A">
      <w:pPr>
        <w:spacing w:after="0" w:line="240" w:lineRule="auto"/>
      </w:pPr>
      <w:r>
        <w:separator/>
      </w:r>
    </w:p>
  </w:endnote>
  <w:endnote w:type="continuationSeparator" w:id="0">
    <w:p w:rsidR="00FC681A" w:rsidRDefault="00F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9" w:rsidRDefault="00BE475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E4759">
      <w:tc>
        <w:tcPr>
          <w:tcW w:w="3485" w:type="dxa"/>
          <w:shd w:val="clear" w:color="auto" w:fill="auto"/>
        </w:tcPr>
        <w:p w:rsidR="00BE4759" w:rsidRDefault="00BE475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E4759" w:rsidRDefault="00BE475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E4759" w:rsidRDefault="00BE475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E4759" w:rsidRDefault="00FC681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1A" w:rsidRDefault="00FC681A">
      <w:pPr>
        <w:spacing w:after="0" w:line="240" w:lineRule="auto"/>
      </w:pPr>
      <w:r>
        <w:separator/>
      </w:r>
    </w:p>
  </w:footnote>
  <w:footnote w:type="continuationSeparator" w:id="0">
    <w:p w:rsidR="00FC681A" w:rsidRDefault="00FC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9" w:rsidRDefault="00BE475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BE4759">
      <w:trPr>
        <w:trHeight w:val="1278"/>
      </w:trPr>
      <w:tc>
        <w:tcPr>
          <w:tcW w:w="10455" w:type="dxa"/>
          <w:shd w:val="clear" w:color="auto" w:fill="auto"/>
        </w:tcPr>
        <w:p w:rsidR="00BE4759" w:rsidRDefault="00FC681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4759" w:rsidRDefault="00BE475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9" w:rsidRDefault="00FC681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05C"/>
    <w:multiLevelType w:val="multilevel"/>
    <w:tmpl w:val="0ADAA44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6A7"/>
    <w:multiLevelType w:val="multilevel"/>
    <w:tmpl w:val="212CF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784DE0"/>
    <w:multiLevelType w:val="multilevel"/>
    <w:tmpl w:val="83E66F90"/>
    <w:lvl w:ilvl="0">
      <w:start w:val="1"/>
      <w:numFmt w:val="bullet"/>
      <w:lvlText w:val="●"/>
      <w:lvlJc w:val="left"/>
      <w:pPr>
        <w:ind w:left="720" w:hanging="360"/>
      </w:pPr>
      <w:rPr>
        <w:rFonts w:ascii="Noto Sans" w:hAnsi="Noto Sans" w:cs="Noto San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4759"/>
    <w:rsid w:val="007666BF"/>
    <w:rsid w:val="00BE4759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eastAsia="Arial" w:cs="Arial"/>
      <w:b w:val="0"/>
      <w:sz w:val="24"/>
      <w:szCs w:val="24"/>
    </w:rPr>
  </w:style>
  <w:style w:type="character" w:customStyle="1" w:styleId="ListLabel3">
    <w:name w:val="ListLabel 3"/>
    <w:qFormat/>
    <w:rPr>
      <w:rFonts w:ascii="Arial" w:eastAsia="Noto Sans" w:hAnsi="Arial" w:cs="Noto San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" w:cs="Noto Sans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" w:cs="Noto Sans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" w:cs="Noto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66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6B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eastAsia="Arial" w:cs="Arial"/>
      <w:b w:val="0"/>
      <w:sz w:val="24"/>
      <w:szCs w:val="24"/>
    </w:rPr>
  </w:style>
  <w:style w:type="character" w:customStyle="1" w:styleId="ListLabel3">
    <w:name w:val="ListLabel 3"/>
    <w:qFormat/>
    <w:rPr>
      <w:rFonts w:ascii="Arial" w:eastAsia="Noto Sans" w:hAnsi="Arial" w:cs="Noto San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" w:cs="Noto Sans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" w:cs="Noto Sans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" w:cs="Noto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66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6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5497-pokus-mereni-casu-pomoci-chemicke-reakce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497-pokus-mereni-casu-pomoci-chemicke-reakce?vsrc=predmet&amp;vsrcid=chem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5497-pokus-mereni-casu-pomoci-chemicke-reakce?vsrc=predmet&amp;vsrcid=chem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5DNXfACX+g0V7XgHSieM1LQokA==">AMUW2mUyZjCq+KW+0VUufQtcHvFAAnNmEyTGEYalaXDxpaiUHmSzqtmqkHu2iWLtHSntFKWhGBqZeItTy1b/c7orU6AAIw6Da+jL5g8D3jRQzmkm/0MIBeFQh4X3H6PHefqbRZElLFw6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2022-12-15T20:42:00Z</dcterms:modified>
  <dc:language>cs-CZ</dc:language>
</cp:coreProperties>
</file>