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93" w:rsidRDefault="00416C93">
      <w:pPr>
        <w:keepNext/>
        <w:widowControl w:val="0"/>
        <w:spacing w:after="0" w:line="276" w:lineRule="auto"/>
      </w:pPr>
      <w:bookmarkStart w:id="0" w:name="_GoBack"/>
    </w:p>
    <w:p w:rsidR="00416C93" w:rsidRDefault="007357A0">
      <w:pPr>
        <w:keepNext/>
        <w:rPr>
          <w:rFonts w:ascii="Arial" w:eastAsia="Arial" w:hAnsi="Arial" w:cs="Arial"/>
          <w:b/>
          <w:i/>
          <w:color w:val="000000"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</w:rPr>
        <w:t>Mechanická</w:t>
      </w:r>
      <w:r>
        <w:rPr>
          <w:rFonts w:ascii="Arial" w:eastAsia="Arial" w:hAnsi="Arial" w:cs="Arial"/>
          <w:b/>
          <w:color w:val="000000"/>
          <w:sz w:val="44"/>
          <w:szCs w:val="44"/>
          <w:shd w:val="clear" w:color="auto" w:fill="FFFFFF"/>
        </w:rPr>
        <w:t xml:space="preserve"> energie</w:t>
      </w:r>
    </w:p>
    <w:p w:rsidR="00416C93" w:rsidRDefault="00416C93">
      <w:pPr>
        <w:pStyle w:val="LO-normal"/>
        <w:sectPr w:rsidR="00416C93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416C93" w:rsidRDefault="007357A0" w:rsidP="00EE306F">
      <w:pPr>
        <w:keepNext/>
        <w:spacing w:before="240" w:after="120"/>
        <w:ind w:right="13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Pracovní list je určen pro studenty středních škol </w:t>
      </w:r>
      <w:r>
        <w:rPr>
          <w:rFonts w:ascii="Arial" w:eastAsia="Arial" w:hAnsi="Arial" w:cs="Arial"/>
          <w:sz w:val="24"/>
          <w:szCs w:val="24"/>
        </w:rPr>
        <w:t>a 2. stupně základních škol.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eho cílem je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seznámit </w:t>
      </w:r>
      <w:r w:rsidR="00EE306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 potenciální a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kinetick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energií.</w:t>
      </w:r>
    </w:p>
    <w:p w:rsidR="00416C93" w:rsidRDefault="007357A0">
      <w:pPr>
        <w:keepNext/>
        <w:numPr>
          <w:ilvl w:val="0"/>
          <w:numId w:val="2"/>
        </w:numPr>
        <w:ind w:left="357" w:hanging="357"/>
      </w:pPr>
      <w:hyperlink r:id="rId11">
        <w:r>
          <w:rPr>
            <w:rStyle w:val="Internetovodkaz"/>
            <w:rFonts w:ascii="Arial" w:eastAsia="Arial" w:hAnsi="Arial" w:cs="Arial"/>
            <w:b/>
            <w:color w:val="FF3399"/>
            <w:sz w:val="32"/>
            <w:szCs w:val="32"/>
            <w:highlight w:val="white"/>
          </w:rPr>
          <w:t>Pokusy: Energie</w:t>
        </w:r>
      </w:hyperlink>
    </w:p>
    <w:p w:rsidR="00416C93" w:rsidRDefault="007357A0">
      <w:hyperlink r:id="rId12">
        <w:r>
          <w:t>_____________</w:t>
        </w:r>
      </w:hyperlink>
      <w:r>
        <w:rPr>
          <w:color w:val="F030A1"/>
        </w:rPr>
        <w:t>_______</w:t>
      </w:r>
      <w:r>
        <w:rPr>
          <w:color w:val="F030A1"/>
        </w:rPr>
        <w:t>_______</w:t>
      </w:r>
      <w:r>
        <w:rPr>
          <w:color w:val="33BEF2"/>
        </w:rPr>
        <w:t>______________</w:t>
      </w:r>
      <w:r>
        <w:rPr>
          <w:color w:val="404040"/>
        </w:rPr>
        <w:t>______________</w:t>
      </w:r>
    </w:p>
    <w:p w:rsidR="00416C93" w:rsidRDefault="00416C93">
      <w:pPr>
        <w:pStyle w:val="LO-normal"/>
        <w:sectPr w:rsidR="00416C93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416C93" w:rsidRDefault="007357A0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Doplňte k fyzikálním veličin</w:t>
      </w:r>
      <w:r>
        <w:rPr>
          <w:rFonts w:ascii="Arial" w:eastAsia="Arial" w:hAnsi="Arial" w:cs="Arial"/>
          <w:b/>
          <w:sz w:val="24"/>
          <w:szCs w:val="24"/>
        </w:rPr>
        <w:t>ám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jej</w:t>
      </w:r>
      <w:r>
        <w:rPr>
          <w:rFonts w:ascii="Arial" w:eastAsia="Arial" w:hAnsi="Arial" w:cs="Arial"/>
          <w:b/>
          <w:sz w:val="24"/>
          <w:szCs w:val="24"/>
        </w:rPr>
        <w:t>ich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značk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a jednotk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70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600" w:firstRow="0" w:lastRow="0" w:firstColumn="0" w:lastColumn="0" w:noHBand="1" w:noVBand="1"/>
      </w:tblPr>
      <w:tblGrid>
        <w:gridCol w:w="2547"/>
        <w:gridCol w:w="2126"/>
        <w:gridCol w:w="2416"/>
      </w:tblGrid>
      <w:tr w:rsidR="00416C93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  <w:vAlign w:val="bottom"/>
          </w:tcPr>
          <w:p w:rsidR="00416C93" w:rsidRDefault="007357A0">
            <w:pPr>
              <w:keepNext/>
              <w:spacing w:before="240" w:after="240"/>
              <w:ind w:left="360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 xml:space="preserve">     Veličina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  <w:vAlign w:val="bottom"/>
          </w:tcPr>
          <w:p w:rsidR="00416C93" w:rsidRDefault="007357A0">
            <w:pPr>
              <w:keepNext/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Značka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  <w:vAlign w:val="bottom"/>
          </w:tcPr>
          <w:p w:rsidR="00416C93" w:rsidRDefault="007357A0">
            <w:pPr>
              <w:keepNext/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Základní jednotka</w:t>
            </w:r>
          </w:p>
        </w:tc>
      </w:tr>
      <w:tr w:rsidR="00416C93">
        <w:trPr>
          <w:trHeight w:val="675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6C93" w:rsidRDefault="007357A0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potenciální energie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  <w:tr w:rsidR="00416C93">
        <w:trPr>
          <w:trHeight w:val="675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6C93" w:rsidRDefault="007357A0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kinetická energie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  <w:tr w:rsidR="00416C93">
        <w:trPr>
          <w:trHeight w:val="675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6C93" w:rsidRDefault="007357A0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výška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  <w:tr w:rsidR="00416C93">
        <w:trPr>
          <w:trHeight w:val="675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6C93" w:rsidRDefault="007357A0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hmotnost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  <w:tr w:rsidR="00416C93">
        <w:trPr>
          <w:trHeight w:val="675"/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6C93" w:rsidRDefault="007357A0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rychlost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6C93" w:rsidRDefault="00416C93">
            <w:pPr>
              <w:keepNext/>
              <w:spacing w:before="240" w:after="0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</w:p>
        </w:tc>
      </w:tr>
    </w:tbl>
    <w:p w:rsidR="00416C93" w:rsidRDefault="00416C93">
      <w:pPr>
        <w:keepNext/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16C93" w:rsidRDefault="00416C93">
      <w:pPr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16C93" w:rsidRDefault="007357A0">
      <w:pPr>
        <w:keepNext/>
        <w:numPr>
          <w:ilvl w:val="0"/>
          <w:numId w:val="1"/>
        </w:numPr>
        <w:spacing w:before="120" w:line="240" w:lineRule="auto"/>
        <w:ind w:left="714" w:right="403" w:hanging="357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Kámen o hmotnosti 1 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kg padá volným pádem z výšky 10 m. Ve kterém z uvedených příkladů je celková mechanická energie největší?</w:t>
      </w:r>
    </w:p>
    <w:p w:rsidR="00416C93" w:rsidRDefault="007357A0">
      <w:pPr>
        <w:keepNext/>
        <w:numPr>
          <w:ilvl w:val="1"/>
          <w:numId w:val="1"/>
        </w:numP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Největší celková mechanická energie je na začátku pádu.</w:t>
      </w:r>
    </w:p>
    <w:p w:rsidR="00416C93" w:rsidRDefault="007357A0">
      <w:pPr>
        <w:keepNext/>
        <w:numPr>
          <w:ilvl w:val="1"/>
          <w:numId w:val="1"/>
        </w:numP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Největší celková mechanická energie je na konci pádu.</w:t>
      </w:r>
    </w:p>
    <w:p w:rsidR="00416C93" w:rsidRDefault="007357A0">
      <w:pPr>
        <w:keepNext/>
        <w:numPr>
          <w:ilvl w:val="1"/>
          <w:numId w:val="1"/>
        </w:numP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Celková mechanická energie je vždy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stejná.</w:t>
      </w:r>
    </w:p>
    <w:p w:rsidR="00416C93" w:rsidRDefault="00416C93">
      <w:pPr>
        <w:keepNext/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416C93" w:rsidRDefault="007357A0">
      <w:pPr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ab/>
      </w:r>
    </w:p>
    <w:p w:rsidR="00416C93" w:rsidRDefault="00416C93">
      <w:pPr>
        <w:pStyle w:val="LO-normal"/>
        <w:sectPr w:rsidR="00416C93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416C93" w:rsidRDefault="007357A0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Jaká je celková mechanická energie běžce </w:t>
      </w:r>
      <w:r>
        <w:rPr>
          <w:rFonts w:ascii="Arial" w:eastAsia="Arial" w:hAnsi="Arial" w:cs="Arial"/>
          <w:b/>
          <w:sz w:val="24"/>
          <w:szCs w:val="24"/>
        </w:rPr>
        <w:t>vzhledem k hladině oceánu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, který běží po rovině rychlostí 10 km/hod a je v nadmořské výšce 300 </w:t>
      </w:r>
      <w:r w:rsidR="00EE306F"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z w:val="24"/>
          <w:szCs w:val="24"/>
        </w:rPr>
        <w:t>n.</w:t>
      </w:r>
      <w:r w:rsidR="00EE306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?</w:t>
      </w:r>
    </w:p>
    <w:p w:rsidR="00416C93" w:rsidRDefault="007357A0">
      <w:pPr>
        <w:keepNext/>
        <w:spacing w:line="480" w:lineRule="auto"/>
        <w:ind w:left="284" w:right="-11"/>
        <w:jc w:val="both"/>
      </w:pPr>
      <w:bookmarkStart w:id="1" w:name="_heading=h.gjdgxs"/>
      <w:bookmarkEnd w:id="1"/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</w:t>
      </w:r>
      <w:r>
        <w:rPr>
          <w:rFonts w:ascii="Arial" w:eastAsia="Arial" w:hAnsi="Arial" w:cs="Arial"/>
          <w:color w:val="33BEF2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:rsidR="00416C93" w:rsidRDefault="007357A0">
      <w:pPr>
        <w:keepNext/>
        <w:numPr>
          <w:ilvl w:val="0"/>
          <w:numId w:val="1"/>
        </w:numPr>
        <w:spacing w:after="120" w:line="240" w:lineRule="auto"/>
        <w:ind w:left="714" w:right="403" w:hanging="357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Napište alespoň tři příklady přeměny potenciální energie na kinetickou energii.</w:t>
      </w:r>
    </w:p>
    <w:bookmarkEnd w:id="0"/>
    <w:p w:rsidR="00416C93" w:rsidRDefault="007357A0">
      <w:pPr>
        <w:keepNext/>
        <w:spacing w:line="480" w:lineRule="auto"/>
        <w:ind w:left="284" w:right="-11"/>
        <w:jc w:val="both"/>
        <w:rPr>
          <w:rFonts w:ascii="Arial" w:eastAsia="Arial" w:hAnsi="Arial" w:cs="Arial"/>
          <w:color w:val="33BEF2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C93" w:rsidRDefault="00416C93">
      <w:pPr>
        <w:pStyle w:val="LO-normal"/>
        <w:sectPr w:rsidR="00416C93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416C93" w:rsidRDefault="007357A0">
      <w:pPr>
        <w:keepNext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lastRenderedPageBreak/>
        <w:t>Co jsem se touto aktivitou naučil(a):</w:t>
      </w:r>
    </w:p>
    <w:p w:rsidR="00416C93" w:rsidRDefault="00416C93">
      <w:pPr>
        <w:pStyle w:val="LO-normal"/>
        <w:sectPr w:rsidR="00416C93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416C93" w:rsidRDefault="007357A0">
      <w:pPr>
        <w:keepNext/>
        <w:spacing w:line="480" w:lineRule="auto"/>
        <w:ind w:left="284" w:right="-11"/>
        <w:jc w:val="both"/>
      </w:pPr>
      <w:r>
        <w:rPr>
          <w:noProof/>
          <w:lang w:eastAsia="cs-CZ" w:bidi="he-IL"/>
        </w:rPr>
        <w:lastRenderedPageBreak/>
        <mc:AlternateContent>
          <mc:Choice Requires="wps">
            <w:drawing>
              <wp:anchor distT="45720" distB="45720" distL="114300" distR="114300" simplePos="0" relativeHeight="5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5095875</wp:posOffset>
                </wp:positionV>
                <wp:extent cx="6885305" cy="1031240"/>
                <wp:effectExtent l="0" t="0" r="0" b="0"/>
                <wp:wrapSquare wrapText="bothSides"/>
                <wp:docPr id="4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40" cy="1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16C93" w:rsidRDefault="007357A0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</w:t>
                            </w:r>
                            <w:r>
                              <w:rPr>
                                <w:color w:val="000000"/>
                              </w:rPr>
                              <w:t>dílo je licencováno pod licencí Creative Commons [CC BY-NC 4.0]. Licenční podmínky navštivte na adrese [https://creativecommons.org/choose/?lang=cs].</w:t>
                            </w:r>
                          </w:p>
                          <w:p w:rsidR="00416C93" w:rsidRDefault="00416C93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11.5pt;margin-top:401.25pt;width:542.05pt;height:81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C93" w:rsidRDefault="00416C93">
      <w:pPr>
        <w:pStyle w:val="LO-normal"/>
        <w:sectPr w:rsidR="00416C93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7357A0" w:rsidRDefault="007357A0"/>
    <w:sectPr w:rsidR="007357A0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A0" w:rsidRDefault="007357A0">
      <w:pPr>
        <w:spacing w:after="0" w:line="240" w:lineRule="auto"/>
      </w:pPr>
      <w:r>
        <w:separator/>
      </w:r>
    </w:p>
  </w:endnote>
  <w:endnote w:type="continuationSeparator" w:id="0">
    <w:p w:rsidR="007357A0" w:rsidRDefault="0073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93" w:rsidRDefault="00416C93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416C93">
      <w:tc>
        <w:tcPr>
          <w:tcW w:w="3485" w:type="dxa"/>
          <w:shd w:val="clear" w:color="auto" w:fill="auto"/>
        </w:tcPr>
        <w:p w:rsidR="00416C93" w:rsidRDefault="00416C93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416C93" w:rsidRDefault="00416C93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416C93" w:rsidRDefault="00416C93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416C93" w:rsidRDefault="007357A0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he-I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A0" w:rsidRDefault="007357A0">
      <w:pPr>
        <w:spacing w:after="0" w:line="240" w:lineRule="auto"/>
      </w:pPr>
      <w:r>
        <w:separator/>
      </w:r>
    </w:p>
  </w:footnote>
  <w:footnote w:type="continuationSeparator" w:id="0">
    <w:p w:rsidR="007357A0" w:rsidRDefault="0073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93" w:rsidRDefault="00416C93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416C93">
      <w:trPr>
        <w:trHeight w:val="1278"/>
      </w:trPr>
      <w:tc>
        <w:tcPr>
          <w:tcW w:w="10455" w:type="dxa"/>
          <w:shd w:val="clear" w:color="auto" w:fill="auto"/>
        </w:tcPr>
        <w:p w:rsidR="00416C93" w:rsidRDefault="007357A0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he-IL"/>
            </w:rPr>
            <w:drawing>
              <wp:inline distT="0" distB="0" distL="0" distR="0">
                <wp:extent cx="6553200" cy="56959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16C93" w:rsidRDefault="00416C93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93" w:rsidRDefault="007357A0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he-IL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3928"/>
    <w:multiLevelType w:val="multilevel"/>
    <w:tmpl w:val="FBC0BBC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B294F"/>
    <w:multiLevelType w:val="multilevel"/>
    <w:tmpl w:val="E87A44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color w:val="FF3399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74E25C38"/>
    <w:multiLevelType w:val="multilevel"/>
    <w:tmpl w:val="46BCF8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93"/>
    <w:rsid w:val="00416C93"/>
    <w:rsid w:val="007357A0"/>
    <w:rsid w:val="00E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7A7A"/>
  <w15:docId w15:val="{C185365D-0E07-4E66-A55D-15A049CF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zevpracovnholistuChar">
    <w:name w:val="Název pracovního listu Char"/>
    <w:basedOn w:val="DefaultParagraphFont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DefaultParagraphFont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DefaultParagraphFont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DefaultParagraphFont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DefaultParagraphFont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6C7A07"/>
    <w:rPr>
      <w:color w:val="808080"/>
    </w:rPr>
  </w:style>
  <w:style w:type="character" w:customStyle="1" w:styleId="ListLabel1">
    <w:name w:val="ListLabel 1"/>
    <w:qFormat/>
    <w:rPr>
      <w:rFonts w:eastAsia="Arial" w:cs="Arial"/>
      <w:b/>
      <w:sz w:val="24"/>
      <w:szCs w:val="24"/>
    </w:rPr>
  </w:style>
  <w:style w:type="character" w:customStyle="1" w:styleId="ListLabel2">
    <w:name w:val="ListLabel 2"/>
    <w:qFormat/>
    <w:rPr>
      <w:rFonts w:ascii="Arial" w:hAnsi="Arial"/>
      <w:b w:val="0"/>
      <w:sz w:val="24"/>
    </w:rPr>
  </w:style>
  <w:style w:type="character" w:customStyle="1" w:styleId="ListLabel3">
    <w:name w:val="ListLabel 3"/>
    <w:qFormat/>
    <w:rPr>
      <w:rFonts w:ascii="Calibri" w:eastAsia="Noto Sans Symbols" w:hAnsi="Calibri" w:cs="Noto Sans Symbols"/>
      <w:b w:val="0"/>
      <w:color w:val="FF3399"/>
      <w:sz w:val="22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Courier New" w:cs="Courier New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al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al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al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al"/>
    <w:qFormat/>
    <w:rsid w:val="00EE3316"/>
    <w:pPr>
      <w:spacing w:line="240" w:lineRule="auto"/>
      <w:ind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al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ListParagraph">
    <w:name w:val="List Paragraph"/>
    <w:basedOn w:val="Normal"/>
    <w:uiPriority w:val="34"/>
    <w:qFormat/>
    <w:rsid w:val="00FA40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C12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al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54-pokusy-energie?vsrc=predmet&amp;vsrcid=fyz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54-pokusy-energie?vsrc=predmet&amp;vsrcid=fyzik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UVeM4/0xwMgEPU+jvhtHlPepitw==">AMUW2mUmzYeDQ2X/flLJjGm9LBTr/XTf0vO70yDjc8VPWMaW/4yWEM5Ac7dGBoGZqcVGR3NETmCNYDVW8DX2d8esJs0YYvVZBdubpZk2Nc9lZ8D2rSKR9aji3/BgboIPPaatpPe4mFFq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User</cp:lastModifiedBy>
  <cp:revision>2</cp:revision>
  <dcterms:created xsi:type="dcterms:W3CDTF">2022-03-07T19:25:00Z</dcterms:created>
  <dcterms:modified xsi:type="dcterms:W3CDTF">2022-04-14T07:35:00Z</dcterms:modified>
  <dc:language>cs-CZ</dc:language>
</cp:coreProperties>
</file>