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34" w:rsidRDefault="002F4E34">
      <w:pPr>
        <w:keepNext/>
        <w:widowControl w:val="0"/>
        <w:spacing w:after="0" w:line="276" w:lineRule="auto"/>
      </w:pPr>
    </w:p>
    <w:p w:rsidR="002F4E34" w:rsidRPr="00A27ED3" w:rsidRDefault="00B333B6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Kyselina boritá </w:t>
      </w:r>
      <w:r w:rsidR="00A27ED3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řešení</w:t>
      </w:r>
    </w:p>
    <w:p w:rsidR="002F4E34" w:rsidRDefault="002F4E34">
      <w:pPr>
        <w:pStyle w:val="LO-normal"/>
        <w:sectPr w:rsidR="002F4E34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2F4E34" w:rsidRDefault="00B333B6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>Pracovní list je určen pro studenty středních škol a jeho cílem je se seznámit s vlastnostmi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strukturou a využitím kyselin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borit</w:t>
      </w:r>
      <w:r>
        <w:rPr>
          <w:rFonts w:ascii="Arial" w:eastAsia="Arial" w:hAnsi="Arial" w:cs="Arial"/>
          <w:sz w:val="24"/>
          <w:szCs w:val="24"/>
        </w:rPr>
        <w:t>é</w:t>
      </w:r>
      <w:hyperlink r:id="rId12">
        <w:r>
          <w:rPr>
            <w:rFonts w:ascii="Arial" w:eastAsia="Arial" w:hAnsi="Arial" w:cs="Arial"/>
            <w:color w:val="000000"/>
            <w:sz w:val="24"/>
            <w:szCs w:val="24"/>
            <w:shd w:val="clear" w:color="auto" w:fill="FFFFFF"/>
          </w:rPr>
          <w:t>.</w:t>
        </w:r>
      </w:hyperlink>
    </w:p>
    <w:p w:rsidR="002F4E34" w:rsidRDefault="00B333B6">
      <w:pPr>
        <w:keepNext/>
        <w:numPr>
          <w:ilvl w:val="0"/>
          <w:numId w:val="3"/>
        </w:numPr>
        <w:ind w:left="357" w:hanging="357"/>
      </w:pPr>
      <w:hyperlink r:id="rId13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Hoření kyseliny borité</w:t>
        </w:r>
      </w:hyperlink>
    </w:p>
    <w:p w:rsidR="002F4E34" w:rsidRDefault="00B333B6">
      <w:hyperlink r:id="rId14">
        <w:r>
          <w:t>_____________</w:t>
        </w:r>
      </w:hyperlink>
      <w:r>
        <w:rPr>
          <w:color w:val="F030A1"/>
        </w:rPr>
        <w:t>____</w:t>
      </w:r>
      <w:r>
        <w:rPr>
          <w:color w:val="F030A1"/>
        </w:rPr>
        <w:t>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2F4E34" w:rsidRDefault="002F4E34">
      <w:pPr>
        <w:pStyle w:val="LO-normal"/>
        <w:sectPr w:rsidR="002F4E3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F4E34" w:rsidRDefault="00B333B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Jakou barvou hoří sloučeniny boru?</w:t>
      </w:r>
    </w:p>
    <w:p w:rsidR="002F4E34" w:rsidRDefault="00B333B6">
      <w:pPr>
        <w:keepNext/>
        <w:numPr>
          <w:ilvl w:val="0"/>
          <w:numId w:val="2"/>
        </w:numPr>
        <w:spacing w:line="240" w:lineRule="auto"/>
        <w:ind w:left="1077" w:right="403" w:hanging="357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zelenou</w:t>
      </w:r>
    </w:p>
    <w:p w:rsidR="002F4E34" w:rsidRDefault="00B333B6">
      <w:pPr>
        <w:keepNext/>
        <w:numPr>
          <w:ilvl w:val="0"/>
          <w:numId w:val="2"/>
        </w:numPr>
        <w:spacing w:line="24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oranžovou</w:t>
      </w:r>
    </w:p>
    <w:p w:rsidR="002F4E34" w:rsidRDefault="00B333B6">
      <w:pPr>
        <w:keepNext/>
        <w:numPr>
          <w:ilvl w:val="0"/>
          <w:numId w:val="2"/>
        </w:numPr>
        <w:spacing w:line="24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modrou</w:t>
      </w:r>
    </w:p>
    <w:p w:rsidR="002F4E34" w:rsidRDefault="002F4E34">
      <w:pPr>
        <w:keepNext/>
        <w:spacing w:line="240" w:lineRule="auto"/>
        <w:ind w:left="1080" w:right="403"/>
        <w:rPr>
          <w:rFonts w:ascii="Arial" w:eastAsia="Arial" w:hAnsi="Arial" w:cs="Arial"/>
          <w:sz w:val="24"/>
          <w:szCs w:val="24"/>
        </w:rPr>
      </w:pPr>
    </w:p>
    <w:p w:rsidR="002F4E34" w:rsidRDefault="00B333B6">
      <w:pPr>
        <w:keepNext/>
        <w:numPr>
          <w:ilvl w:val="0"/>
          <w:numId w:val="1"/>
        </w:numPr>
        <w:spacing w:line="240" w:lineRule="auto"/>
        <w:ind w:right="401"/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Napište sumární vzorec kyseliny borité:</w:t>
      </w:r>
    </w:p>
    <w:p w:rsidR="002F4E34" w:rsidRDefault="00B333B6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FF3399"/>
          <w:sz w:val="24"/>
          <w:szCs w:val="24"/>
          <w:highlight w:val="white"/>
          <w:vertAlign w:val="subscript"/>
        </w:rPr>
      </w:pPr>
      <w:r>
        <w:rPr>
          <w:rFonts w:ascii="Arial" w:eastAsia="Arial" w:hAnsi="Arial" w:cs="Arial"/>
          <w:color w:val="FF3399"/>
          <w:sz w:val="24"/>
          <w:szCs w:val="24"/>
        </w:rPr>
        <w:t>H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color w:val="FF3399"/>
          <w:sz w:val="24"/>
          <w:szCs w:val="24"/>
        </w:rPr>
        <w:t>BO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3</w:t>
      </w:r>
    </w:p>
    <w:p w:rsidR="002F4E34" w:rsidRDefault="00B333B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563880</wp:posOffset>
            </wp:positionV>
            <wp:extent cx="1033145" cy="762000"/>
            <wp:effectExtent l="0" t="0" r="0" b="0"/>
            <wp:wrapTopAndBottom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Označte správný str</w:t>
      </w:r>
      <w:r w:rsidR="00A27ED3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ukturní vzorec kyseliny borité:</w:t>
      </w:r>
    </w:p>
    <w:p w:rsidR="002F4E34" w:rsidRDefault="00B333B6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  <w:shd w:val="clear" w:color="auto" w:fill="FFFFFF"/>
        </w:rPr>
      </w:pPr>
      <w:r>
        <w:rPr>
          <w:rFonts w:ascii="Arial" w:eastAsia="Arial" w:hAnsi="Arial" w:cs="Arial"/>
          <w:noProof/>
          <w:color w:val="33BEF2"/>
          <w:shd w:val="clear" w:color="auto" w:fill="FFFFFF"/>
          <w:lang w:eastAsia="cs-CZ" w:bidi="ar-SA"/>
        </w:rPr>
        <mc:AlternateContent>
          <mc:Choice Requires="wps">
            <w:drawing>
              <wp:anchor distT="114300" distB="114300" distL="114300" distR="114300" simplePos="0" relativeHeight="4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238125</wp:posOffset>
                </wp:positionV>
                <wp:extent cx="1186815" cy="1145540"/>
                <wp:effectExtent l="0" t="0" r="0" b="0"/>
                <wp:wrapNone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200" cy="114480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FE4DD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F4E34" w:rsidRDefault="002F4E34">
                            <w:pPr>
                              <w:pStyle w:val="Obsahrmce"/>
                              <w:spacing w:after="0" w:line="240" w:lineRule="exact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brázek1" stroked="t" style="position:absolute;margin-left:52.85pt;margin-top:18.75pt;width:93.35pt;height:90.1pt">
                <w10:wrap type="none"/>
                <v:fill o:detectmouseclick="t" on="false"/>
                <v:stroke color="#fe4dd3" weight="9360" joinstyle="round" endcap="flat"/>
                <v:textbox>
                  <w:txbxContent>
                    <w:p>
                      <w:pPr>
                        <w:pStyle w:val="Obsahrmce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Arial" w:hAnsi="Arial" w:cs="Arial"/>
          <w:noProof/>
          <w:color w:val="33BEF2"/>
          <w:shd w:val="clear" w:color="auto" w:fill="FFFFFF"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239395</wp:posOffset>
            </wp:positionV>
            <wp:extent cx="446405" cy="781050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33BEF2"/>
          <w:shd w:val="clear" w:color="auto" w:fill="FFFFFF"/>
          <w:lang w:eastAsia="cs-CZ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281305</wp:posOffset>
            </wp:positionV>
            <wp:extent cx="981075" cy="723900"/>
            <wp:effectExtent l="0" t="0" r="0" b="0"/>
            <wp:wrapTopAndBottom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E34" w:rsidRDefault="002F4E34">
      <w:pPr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2F4E34" w:rsidRDefault="002F4E34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2F4E34" w:rsidRDefault="00B333B6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Kde se používá kyselina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boritá?</w:t>
      </w:r>
    </w:p>
    <w:p w:rsidR="002F4E34" w:rsidRPr="00A27ED3" w:rsidRDefault="00B333B6" w:rsidP="00A27ED3">
      <w:pPr>
        <w:keepNext/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  <w:sectPr w:rsidR="002F4E34" w:rsidRPr="00A27ED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  <w:r>
        <w:rPr>
          <w:rFonts w:ascii="Arial" w:eastAsia="Arial" w:hAnsi="Arial" w:cs="Arial"/>
          <w:color w:val="FF3399"/>
          <w:sz w:val="24"/>
          <w:szCs w:val="24"/>
        </w:rPr>
        <w:t>Kyselina boritá se používá v očním lékařství, v jaderných elektrárnách jako regulátor výkonu reaktoru a nalezneme ji také v pyrotechnických směsí</w:t>
      </w:r>
      <w:r w:rsidR="00A27ED3">
        <w:rPr>
          <w:rFonts w:ascii="Arial" w:eastAsia="Arial" w:hAnsi="Arial" w:cs="Arial"/>
          <w:color w:val="FF3399"/>
          <w:sz w:val="24"/>
          <w:szCs w:val="24"/>
        </w:rPr>
        <w:t>ch.</w:t>
      </w:r>
    </w:p>
    <w:p w:rsidR="002F4E34" w:rsidRDefault="00B333B6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  <w:r>
        <w:lastRenderedPageBreak/>
        <w:br w:type="page"/>
      </w:r>
    </w:p>
    <w:p w:rsidR="002F4E34" w:rsidRDefault="002F4E34">
      <w:pPr>
        <w:spacing w:line="240" w:lineRule="auto"/>
        <w:ind w:left="720" w:right="401" w:hanging="360"/>
        <w:rPr>
          <w:rFonts w:ascii="Arial" w:eastAsia="Arial" w:hAnsi="Arial" w:cs="Arial"/>
          <w:b/>
          <w:sz w:val="24"/>
          <w:szCs w:val="24"/>
        </w:rPr>
      </w:pPr>
    </w:p>
    <w:p w:rsidR="002F4E34" w:rsidRDefault="00B333B6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A27ED3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bookmarkStart w:id="1" w:name="_GoBack"/>
      <w:bookmarkEnd w:id="1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2F4E34" w:rsidRDefault="002F4E34">
      <w:pPr>
        <w:pStyle w:val="LO-normal"/>
        <w:sectPr w:rsidR="002F4E3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F4E34" w:rsidRDefault="00B333B6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1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6802120</wp:posOffset>
                </wp:positionV>
                <wp:extent cx="6894830" cy="1040765"/>
                <wp:effectExtent l="0" t="0" r="0" b="0"/>
                <wp:wrapSquare wrapText="bothSides"/>
                <wp:docPr id="9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F4E34" w:rsidRDefault="00B333B6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2F4E34" w:rsidRDefault="002F4E34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2" stroked="f" style="position:absolute;margin-left:-8.15pt;margin-top:535.6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</w:t>
      </w:r>
    </w:p>
    <w:p w:rsidR="002F4E34" w:rsidRDefault="002F4E34">
      <w:pPr>
        <w:pStyle w:val="LO-normal"/>
        <w:sectPr w:rsidR="002F4E3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B333B6" w:rsidRDefault="00B333B6"/>
    <w:sectPr w:rsidR="00B333B6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B6" w:rsidRDefault="00B333B6">
      <w:pPr>
        <w:spacing w:after="0" w:line="240" w:lineRule="auto"/>
      </w:pPr>
      <w:r>
        <w:separator/>
      </w:r>
    </w:p>
  </w:endnote>
  <w:endnote w:type="continuationSeparator" w:id="0">
    <w:p w:rsidR="00B333B6" w:rsidRDefault="00B3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4" w:rsidRDefault="002F4E3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2F4E34">
      <w:tc>
        <w:tcPr>
          <w:tcW w:w="3485" w:type="dxa"/>
          <w:shd w:val="clear" w:color="auto" w:fill="auto"/>
        </w:tcPr>
        <w:p w:rsidR="002F4E34" w:rsidRDefault="002F4E3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2F4E34" w:rsidRDefault="002F4E34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2F4E34" w:rsidRDefault="002F4E3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2F4E34" w:rsidRDefault="00B333B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B6" w:rsidRDefault="00B333B6">
      <w:pPr>
        <w:spacing w:after="0" w:line="240" w:lineRule="auto"/>
      </w:pPr>
      <w:r>
        <w:separator/>
      </w:r>
    </w:p>
  </w:footnote>
  <w:footnote w:type="continuationSeparator" w:id="0">
    <w:p w:rsidR="00B333B6" w:rsidRDefault="00B3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4" w:rsidRDefault="002F4E3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2F4E34">
      <w:trPr>
        <w:trHeight w:val="1278"/>
      </w:trPr>
      <w:tc>
        <w:tcPr>
          <w:tcW w:w="10455" w:type="dxa"/>
          <w:shd w:val="clear" w:color="auto" w:fill="auto"/>
        </w:tcPr>
        <w:p w:rsidR="002F4E34" w:rsidRDefault="00B333B6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4E34" w:rsidRDefault="002F4E3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34" w:rsidRDefault="00B333B6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382A"/>
    <w:multiLevelType w:val="multilevel"/>
    <w:tmpl w:val="E1C4B7D8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252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39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4680" w:hanging="1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61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6840" w:hanging="180"/>
      </w:pPr>
      <w:rPr>
        <w:rFonts w:ascii="Wingdings" w:hAnsi="Wingdings" w:cs="Wingdings" w:hint="default"/>
      </w:rPr>
    </w:lvl>
  </w:abstractNum>
  <w:abstractNum w:abstractNumId="1">
    <w:nsid w:val="3C3B562D"/>
    <w:multiLevelType w:val="multilevel"/>
    <w:tmpl w:val="951E1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3C566306"/>
    <w:multiLevelType w:val="multilevel"/>
    <w:tmpl w:val="351AA2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FB3227"/>
    <w:multiLevelType w:val="multilevel"/>
    <w:tmpl w:val="9A4864A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4E34"/>
    <w:rsid w:val="002F4E34"/>
    <w:rsid w:val="00A27ED3"/>
    <w:rsid w:val="00B3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7ED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ED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7ED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ED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3423-horeni-kyseliny-borite?vsrc=predmet&amp;vsrcid=chem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3423-horeni-kyseliny-borite?vsrc=predmet&amp;vsrcid=chemie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du.ceskatelevize.cz/video/3423-horeni-kyseliny-borite?vsrc=predmet&amp;vsrcid=chem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1HakdV29dz8EHHmU4LSMqn5Sxw==">AMUW2mW6vLl9yBCbrI9l/ITsXLRaaYx68y5Al5M77iSEqfZuVZpEv1mz0OmtPx1jm+C4IapWBbHAlgi/UJtf1pZ3T8LxzYGjRNavCZbkvUyv+1ZOxY7p01puqTXsRhQzwziZF5ThxKNB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2021-10-07T18:41:00Z</dcterms:created>
  <dcterms:modified xsi:type="dcterms:W3CDTF">2022-07-05T04:45:00Z</dcterms:modified>
  <dc:language>cs-CZ</dc:language>
</cp:coreProperties>
</file>