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44"/>
          <w:szCs w:val="44"/>
        </w:rPr>
        <w:t>Hemoglobin a vázání kyslíku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středních škol a jeho cílem je se seznámit s </w:t>
      </w:r>
      <w:hyperlink r:id="rId5">
        <w:r>
          <w:rPr>
            <w:rFonts w:eastAsia="Arial" w:cs="Arial" w:ascii="Arial" w:hAnsi="Arial"/>
            <w:sz w:val="24"/>
            <w:szCs w:val="24"/>
          </w:rPr>
          <w:t>vázáním kyslíku na hemoglobin a borové klastry.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7">
        <w:r>
          <w:rPr>
            <w:rStyle w:val="Internetovodkaz"/>
            <w:rFonts w:eastAsia="Arial" w:cs="Arial" w:ascii="Arial" w:hAnsi="Arial"/>
            <w:b/>
            <w:color w:val="FF3399"/>
            <w:sz w:val="32"/>
            <w:szCs w:val="32"/>
            <w:u w:val="single"/>
          </w:rPr>
          <w:t>Hemoglobin a vázání kyslíku</w:t>
        </w:r>
      </w:hyperlink>
    </w:p>
    <w:p>
      <w:pPr>
        <w:pStyle w:val="Normal"/>
        <w:rPr/>
      </w:pPr>
      <w:hyperlink r:id="rId8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Vazba kyslíku na hemoglobin je?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1077" w:right="403" w:hanging="35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reverzibilní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1077" w:right="403" w:hanging="35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irreverzibilní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1077" w:right="403" w:hanging="35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>kyslík se neváže na hemoglobin, váže se pouze na borové klastry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bookmarkStart w:id="0" w:name="_heading=h.gjdgxs"/>
      <w:bookmarkStart w:id="1" w:name="_heading=h.gjdgxs"/>
      <w:bookmarkEnd w:id="1"/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bookmarkStart w:id="2" w:name="_heading=h.vk6kx69jirvo"/>
      <w:bookmarkEnd w:id="2"/>
      <w:r>
        <w:rPr>
          <w:rFonts w:eastAsia="Arial" w:cs="Arial" w:ascii="Arial" w:hAnsi="Arial"/>
          <w:b/>
          <w:sz w:val="24"/>
          <w:szCs w:val="24"/>
        </w:rPr>
        <w:t>Co je to hypoxie?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720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</w:rPr>
        <w:t xml:space="preserve">Hypoxie je nedostatek kyslíku v těle nebo v jednotlivých lidských tkání.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Určete pravdivost výroků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: </w:t>
      </w:r>
    </w:p>
    <w:p>
      <w:pPr>
        <w:pStyle w:val="Normal"/>
        <w:rPr/>
      </w:pPr>
      <w:r>
        <w:rPr/>
      </w:r>
    </w:p>
    <w:tbl>
      <w:tblPr>
        <w:tblStyle w:val="Table1"/>
        <w:tblW w:w="867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6973"/>
        <w:gridCol w:w="850"/>
        <w:gridCol w:w="851"/>
      </w:tblGrid>
      <w:tr>
        <w:trPr>
          <w:trHeight w:val="573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Při klesajícím tlaku vzduchu se zpomalují reakce.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Kyslík má silné oxidační účinky.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Hemoglobin je jediná sloučenina, která dovede vázat kyslík.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Klastry hydridu boru váží reverzibilně i oxid uhelnatý, uhličitý či siřičitý.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/>
        <w:ind w:left="720" w:right="401" w:hanging="36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ind w:left="720" w:right="401" w:hanging="36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Doplňte do textu slova z nabídky: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0" w:right="-11" w:hanging="0"/>
        <w:jc w:val="both"/>
        <w:rPr>
          <w:rFonts w:ascii="Arial" w:hAnsi="Arial" w:eastAsia="Arial" w:cs="Arial"/>
          <w:color w:val="404040"/>
          <w:sz w:val="24"/>
          <w:szCs w:val="24"/>
        </w:rPr>
      </w:pPr>
      <w:r>
        <w:rPr>
          <w:rFonts w:eastAsia="Arial" w:cs="Arial" w:ascii="Arial" w:hAnsi="Arial"/>
          <w:color w:val="FF3399"/>
          <w:sz w:val="24"/>
          <w:szCs w:val="24"/>
        </w:rPr>
        <w:t>Kyslík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 ze vzduchu se v plicích sklípcích naváže na červené krvinky, přesněji na krevní barvivo </w:t>
      </w:r>
      <w:r>
        <w:rPr>
          <w:rFonts w:eastAsia="Arial" w:cs="Arial" w:ascii="Arial" w:hAnsi="Arial"/>
          <w:color w:val="FF3399"/>
          <w:sz w:val="24"/>
          <w:szCs w:val="24"/>
        </w:rPr>
        <w:t>hemoglobin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. To je transportér, který dopravuje kyslík do tkání lidského těla. V jeho buňkách se kyslík předává do </w:t>
      </w:r>
      <w:r>
        <w:rPr>
          <w:rFonts w:eastAsia="Arial" w:cs="Arial" w:ascii="Arial" w:hAnsi="Arial"/>
          <w:color w:val="FF3399"/>
          <w:sz w:val="24"/>
          <w:szCs w:val="24"/>
        </w:rPr>
        <w:t>mitochondrie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, miniaturních buněčných elektráren, aby umožnil produkci </w:t>
      </w:r>
      <w:r>
        <w:rPr>
          <w:rFonts w:eastAsia="Arial" w:cs="Arial" w:ascii="Arial" w:hAnsi="Arial"/>
          <w:color w:val="FF3399"/>
          <w:sz w:val="24"/>
          <w:szCs w:val="24"/>
        </w:rPr>
        <w:t>energie</w:t>
      </w:r>
      <w:r>
        <w:rPr>
          <w:rFonts w:eastAsia="Arial" w:cs="Arial" w:ascii="Arial" w:hAnsi="Arial"/>
          <w:color w:val="404040"/>
          <w:sz w:val="24"/>
          <w:szCs w:val="24"/>
        </w:rPr>
        <w:t xml:space="preserve"> pro naše tělo. Transportér hemoglobin zase ven odnáší nepotřebný </w:t>
      </w:r>
      <w:r>
        <w:rPr>
          <w:rFonts w:eastAsia="Arial" w:cs="Arial" w:ascii="Arial" w:hAnsi="Arial"/>
          <w:color w:val="FF3399"/>
          <w:sz w:val="24"/>
          <w:szCs w:val="24"/>
        </w:rPr>
        <w:t>oxid uhličitý</w:t>
      </w:r>
      <w:r>
        <w:rPr>
          <w:rFonts w:eastAsia="Arial" w:cs="Arial" w:ascii="Arial" w:hAnsi="Arial"/>
          <w:color w:val="404040"/>
          <w:sz w:val="24"/>
          <w:szCs w:val="24"/>
        </w:rPr>
        <w:t>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360"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color w:val="F030A1"/>
          <w:sz w:val="28"/>
          <w:szCs w:val="28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-103505</wp:posOffset>
                </wp:positionH>
                <wp:positionV relativeFrom="paragraph">
                  <wp:posOffset>4758690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74.7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Wingdings">
    <w:charset w:val="02"/>
    <w:family w:val="auto"/>
    <w:pitch w:val="default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68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840" w:hanging="1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23-horeni-kyseliny-borite?vsrc=predmet&amp;vsrcid=chemie" TargetMode="External"/><Relationship Id="rId6" Type="http://schemas.openxmlformats.org/officeDocument/2006/relationships/hyperlink" Target="https://edu.ceskatelevize.cz/video/9389-hemoglobin-a-vazani-kysliku?vsrc=vyhledavani&amp;vsrcid=hemoglobin" TargetMode="External"/><Relationship Id="rId7" Type="http://schemas.openxmlformats.org/officeDocument/2006/relationships/hyperlink" Target="https://edu.ceskatelevize.cz/video/3423-horeni-kyseliny-borite?vsrc=predmet&amp;vsrcid=chemie" TargetMode="External"/><Relationship Id="rId8" Type="http://schemas.openxmlformats.org/officeDocument/2006/relationships/hyperlink" Target="https://edu.ceskatelevize.cz/video/3423-horeni-kyseliny-borite?vsrc=predmet&amp;vsrcid=chemi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Y2DdaiSQHyct/fa4aB20Ri0iUtA==">AMUW2mWU5CrtkfrwIQvN2R/tEdxpfcDTws1Dc1VL5ATG3YR6xLDlOrzsPWZiufmqUrC4KIM152Bh4Ht8dCnAOWx6oYbGy88J9QhI/yggnqeyHDyJFGOj3I/Cv5EcdFUgqOegXir/l73Fx3dPkhFIIO1IvbrQpLRb6NWeoXlaHWCH4E3LtsVAEf/MPsvQKN3YCafU650WdhDTrmAS9CyJasdZwv2nz7lhM8OOXdOdSHWRFze82vGXNYZ4BhWILcqzQuIdna2i8wW+NwbMLYhfXmsPBtZoFpCpB+dBFify6uWiVD7bLvln1QbyUAgrv2ndrcR/M8+ioWTzQoawbU3QwVY3j8ONN/Vp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197</Words>
  <Characters>1286</Characters>
  <CharactersWithSpaces>1454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2022-06-10T20:55:29Z</dcterms:modified>
  <cp:revision>1</cp:revision>
  <dc:subject/>
  <dc:title/>
</cp:coreProperties>
</file>