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36B8" w14:textId="77777777" w:rsidR="00EA0568" w:rsidRDefault="00EA0568" w:rsidP="00EA0568">
      <w:pPr>
        <w:pStyle w:val="Nzevpracovnholistu"/>
      </w:pPr>
      <w:r>
        <w:t xml:space="preserve">Architektonické styly – 20. století </w:t>
      </w:r>
    </w:p>
    <w:p w14:paraId="2BBE29EE" w14:textId="77777777" w:rsidR="00EA0568" w:rsidRDefault="00EA0568" w:rsidP="00EA0568">
      <w:pPr>
        <w:sectPr w:rsidR="00EA0568" w:rsidSect="00EA056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395B5751" w14:textId="77777777" w:rsidR="00EA0568" w:rsidRDefault="00EA0568" w:rsidP="00EA0568">
      <w:pPr>
        <w:pStyle w:val="Popispracovnholistu"/>
        <w:rPr>
          <w:sz w:val="24"/>
        </w:rPr>
      </w:pPr>
      <w:r>
        <w:rPr>
          <w:sz w:val="24"/>
        </w:rPr>
        <w:t>V průběhu staletí bylo na území naší republiky vystavěno mnoho staveb v různých architektonických stylech. Jejich množství a pestrost činí z České republiky unikátní prostor, kde můžeme poznávat dějiny architektury od nejstarších dob po naši současnost.</w:t>
      </w:r>
    </w:p>
    <w:p w14:paraId="00319FB0" w14:textId="77777777" w:rsidR="00EA0568" w:rsidRDefault="00EA0568" w:rsidP="00EA0568">
      <w:pPr>
        <w:sectPr w:rsidR="00EA05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AC7CD93" w14:textId="77777777" w:rsidR="00EA0568" w:rsidRDefault="00EA0568" w:rsidP="00EA0568">
      <w:pPr>
        <w:pStyle w:val="Video"/>
        <w:numPr>
          <w:ilvl w:val="0"/>
          <w:numId w:val="15"/>
        </w:numPr>
      </w:pPr>
      <w:hyperlink r:id="rId11">
        <w:r>
          <w:rPr>
            <w:rStyle w:val="Internetovodkaz"/>
          </w:rPr>
          <w:t>Video 1 - Praha ve 20. a 30. letech 20. století</w:t>
        </w:r>
      </w:hyperlink>
    </w:p>
    <w:p w14:paraId="2E264171" w14:textId="77777777" w:rsidR="00EA0568" w:rsidRDefault="00EA0568" w:rsidP="00EA0568">
      <w:pPr>
        <w:pStyle w:val="Video"/>
        <w:numPr>
          <w:ilvl w:val="0"/>
          <w:numId w:val="15"/>
        </w:numPr>
      </w:pPr>
      <w:hyperlink r:id="rId12">
        <w:r>
          <w:rPr>
            <w:rStyle w:val="Internetovodkaz"/>
          </w:rPr>
          <w:t xml:space="preserve">Video 2 - Vila </w:t>
        </w:r>
        <w:proofErr w:type="spellStart"/>
        <w:r>
          <w:rPr>
            <w:rStyle w:val="Internetovodkaz"/>
          </w:rPr>
          <w:t>Tugendhat</w:t>
        </w:r>
        <w:proofErr w:type="spellEnd"/>
      </w:hyperlink>
    </w:p>
    <w:p w14:paraId="0CA96762" w14:textId="77777777" w:rsidR="00EA0568" w:rsidRDefault="00EA0568" w:rsidP="00EA0568">
      <w:pPr>
        <w:pStyle w:val="Video"/>
        <w:numPr>
          <w:ilvl w:val="0"/>
          <w:numId w:val="15"/>
        </w:numPr>
      </w:pPr>
      <w:hyperlink r:id="rId13">
        <w:r>
          <w:rPr>
            <w:rStyle w:val="Internetovodkaz"/>
          </w:rPr>
          <w:t xml:space="preserve">Video 3 - </w:t>
        </w:r>
        <w:proofErr w:type="spellStart"/>
        <w:r>
          <w:rPr>
            <w:rStyle w:val="Internetovodkaz"/>
          </w:rPr>
          <w:t>Jože</w:t>
        </w:r>
        <w:proofErr w:type="spellEnd"/>
        <w:r>
          <w:rPr>
            <w:rStyle w:val="Internetovodkaz"/>
          </w:rPr>
          <w:t xml:space="preserve"> </w:t>
        </w:r>
        <w:proofErr w:type="spellStart"/>
        <w:r>
          <w:rPr>
            <w:rStyle w:val="Internetovodkaz"/>
          </w:rPr>
          <w:t>Plečnik</w:t>
        </w:r>
        <w:proofErr w:type="spellEnd"/>
      </w:hyperlink>
    </w:p>
    <w:p w14:paraId="59EFCEF0" w14:textId="77777777" w:rsidR="00EA0568" w:rsidRDefault="00EA0568" w:rsidP="00EA0568">
      <w:pPr>
        <w:sectPr w:rsidR="00EA05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FE2B573" w14:textId="77777777" w:rsidR="00EA0568" w:rsidRDefault="00EA0568" w:rsidP="00EA0568"/>
    <w:p w14:paraId="1757E049" w14:textId="77777777" w:rsidR="00EA0568" w:rsidRDefault="00EA0568" w:rsidP="00EA056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1440C64" w14:textId="77777777" w:rsidR="00EA0568" w:rsidRDefault="00EA0568" w:rsidP="00E6642D">
      <w:pPr>
        <w:pStyle w:val="kol-zadn"/>
        <w:ind w:left="709" w:hanging="426"/>
      </w:pPr>
      <w:bookmarkStart w:id="0" w:name="_Hlk97991972"/>
      <w:r>
        <w:t xml:space="preserve">Podívejte se na video 1 o stavebních proměnách Prahy v době první republiky. Zjistíte, že se ve 20. století objevilo mnoho nových architektonických směrů. Ohromně rychlý rozvoj vědy, výzkumu a techniky, růst počtu obyvatelstva – to vše vedlo k </w:t>
      </w:r>
      <w:r w:rsidRPr="00EA0568">
        <w:t>proměně</w:t>
      </w:r>
      <w:r>
        <w:t xml:space="preserve"> životního stylu a ke vzniku nových stylů. Spoj směr a příslušnou charakteristiku:</w:t>
      </w:r>
    </w:p>
    <w:bookmarkEnd w:id="0"/>
    <w:p w14:paraId="4A9C10D3" w14:textId="77777777" w:rsidR="00EA0568" w:rsidRPr="00463925" w:rsidRDefault="00EA0568" w:rsidP="00EA0568">
      <w:pPr>
        <w:pStyle w:val="kol-zadn"/>
        <w:numPr>
          <w:ilvl w:val="0"/>
          <w:numId w:val="17"/>
        </w:numPr>
        <w:rPr>
          <w:b w:val="0"/>
          <w:bCs/>
        </w:rPr>
      </w:pPr>
      <w:r w:rsidRPr="00463925">
        <w:rPr>
          <w:b w:val="0"/>
          <w:bCs/>
        </w:rPr>
        <w:t>secese</w:t>
      </w:r>
    </w:p>
    <w:p w14:paraId="603E46D7" w14:textId="77777777" w:rsidR="00EA0568" w:rsidRPr="00463925" w:rsidRDefault="00EA0568" w:rsidP="00EA0568">
      <w:pPr>
        <w:pStyle w:val="kol-zadn"/>
        <w:numPr>
          <w:ilvl w:val="0"/>
          <w:numId w:val="17"/>
        </w:numPr>
        <w:rPr>
          <w:b w:val="0"/>
          <w:bCs/>
        </w:rPr>
      </w:pPr>
      <w:r w:rsidRPr="00463925">
        <w:rPr>
          <w:b w:val="0"/>
          <w:bCs/>
        </w:rPr>
        <w:t>česká moderna</w:t>
      </w:r>
    </w:p>
    <w:p w14:paraId="50309E4A" w14:textId="77777777" w:rsidR="00EA0568" w:rsidRPr="00463925" w:rsidRDefault="00EA0568" w:rsidP="00EA0568">
      <w:pPr>
        <w:pStyle w:val="kol-zadn"/>
        <w:numPr>
          <w:ilvl w:val="0"/>
          <w:numId w:val="17"/>
        </w:numPr>
        <w:rPr>
          <w:b w:val="0"/>
          <w:bCs/>
        </w:rPr>
      </w:pPr>
      <w:r w:rsidRPr="00463925">
        <w:rPr>
          <w:b w:val="0"/>
          <w:bCs/>
        </w:rPr>
        <w:t>kubismus</w:t>
      </w:r>
    </w:p>
    <w:p w14:paraId="74356435" w14:textId="77777777" w:rsidR="00EA0568" w:rsidRPr="00463925" w:rsidRDefault="00EA0568" w:rsidP="00EA0568">
      <w:pPr>
        <w:pStyle w:val="kol-zadn"/>
        <w:numPr>
          <w:ilvl w:val="0"/>
          <w:numId w:val="17"/>
        </w:numPr>
        <w:rPr>
          <w:b w:val="0"/>
          <w:bCs/>
        </w:rPr>
      </w:pPr>
      <w:r w:rsidRPr="00463925">
        <w:rPr>
          <w:b w:val="0"/>
          <w:bCs/>
        </w:rPr>
        <w:t>konstruktivismus a funkcionalismus</w:t>
      </w:r>
    </w:p>
    <w:p w14:paraId="3F52319A" w14:textId="77777777" w:rsidR="00EA0568" w:rsidRPr="00463925" w:rsidRDefault="00EA0568" w:rsidP="00EA056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4F45AD99" w14:textId="77777777" w:rsidR="00EA0568" w:rsidRPr="00463925" w:rsidRDefault="00EA0568" w:rsidP="00EA0568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463925">
        <w:rPr>
          <w:b w:val="0"/>
          <w:bCs/>
        </w:rPr>
        <w:t xml:space="preserve">1. důležitá je hmota a účelnost, geometricky čisté tvary  </w:t>
      </w:r>
    </w:p>
    <w:p w14:paraId="3F219974" w14:textId="77777777" w:rsidR="00EA0568" w:rsidRPr="00463925" w:rsidRDefault="00EA0568" w:rsidP="00EA0568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463925">
        <w:rPr>
          <w:b w:val="0"/>
          <w:bCs/>
        </w:rPr>
        <w:t>2. asketický ráz, bez ozdob, hladká průčelí</w:t>
      </w:r>
    </w:p>
    <w:p w14:paraId="0708CCF0" w14:textId="7913D924" w:rsidR="00EA0568" w:rsidRPr="00463925" w:rsidRDefault="00EA0568" w:rsidP="00EA056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>
        <w:rPr>
          <w:b w:val="0"/>
          <w:bCs/>
        </w:rPr>
        <w:t>3.</w:t>
      </w:r>
      <w:r w:rsidRPr="00463925">
        <w:rPr>
          <w:b w:val="0"/>
          <w:bCs/>
        </w:rPr>
        <w:t xml:space="preserve"> odmítání staveb v pravém úhlu – používání vertikál a horizontál, pouze český sloh</w:t>
      </w:r>
    </w:p>
    <w:p w14:paraId="77AAC5D6" w14:textId="77777777" w:rsidR="00EA0568" w:rsidRPr="00463925" w:rsidRDefault="00EA0568" w:rsidP="00EA0568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463925">
        <w:rPr>
          <w:b w:val="0"/>
          <w:bCs/>
        </w:rPr>
        <w:t>4. typický prvek ornament, fasády zdobné rostlinnými motivy</w:t>
      </w:r>
    </w:p>
    <w:p w14:paraId="6D749ADA" w14:textId="77777777" w:rsidR="00EA0568" w:rsidRDefault="00EA0568" w:rsidP="00EA0568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</w:tblGrid>
      <w:tr w:rsidR="00EA0568" w14:paraId="0B4574B9" w14:textId="77777777" w:rsidTr="00601DBF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2D657DA1" w14:textId="77777777" w:rsidR="00EA0568" w:rsidRDefault="00EA0568" w:rsidP="00601DBF">
            <w:pPr>
              <w:pStyle w:val="Zhlav-tabulka"/>
              <w:jc w:val="left"/>
            </w:pPr>
            <w:r>
              <w:t>1.</w:t>
            </w:r>
          </w:p>
        </w:tc>
        <w:tc>
          <w:tcPr>
            <w:tcW w:w="1803" w:type="dxa"/>
            <w:shd w:val="clear" w:color="auto" w:fill="33BEF2"/>
          </w:tcPr>
          <w:p w14:paraId="29915AA3" w14:textId="77777777" w:rsidR="00EA0568" w:rsidRDefault="00EA0568" w:rsidP="00601DBF">
            <w:pPr>
              <w:pStyle w:val="Zhlav-tabulka"/>
              <w:jc w:val="left"/>
            </w:pPr>
            <w:r>
              <w:t>2.</w:t>
            </w:r>
          </w:p>
        </w:tc>
        <w:tc>
          <w:tcPr>
            <w:tcW w:w="1803" w:type="dxa"/>
            <w:shd w:val="clear" w:color="auto" w:fill="33BEF2"/>
          </w:tcPr>
          <w:p w14:paraId="484EEE30" w14:textId="77777777" w:rsidR="00EA0568" w:rsidRDefault="00EA0568" w:rsidP="00601DBF">
            <w:pPr>
              <w:pStyle w:val="Zhlav-tabulka"/>
              <w:jc w:val="left"/>
            </w:pPr>
            <w:r>
              <w:t>3.</w:t>
            </w:r>
          </w:p>
        </w:tc>
        <w:tc>
          <w:tcPr>
            <w:tcW w:w="1803" w:type="dxa"/>
            <w:shd w:val="clear" w:color="auto" w:fill="33BEF2"/>
          </w:tcPr>
          <w:p w14:paraId="17149283" w14:textId="77777777" w:rsidR="00EA0568" w:rsidRDefault="00EA0568" w:rsidP="00601DBF">
            <w:pPr>
              <w:pStyle w:val="Zhlav-tabulka"/>
              <w:jc w:val="left"/>
            </w:pPr>
            <w:r>
              <w:t>4.</w:t>
            </w:r>
          </w:p>
        </w:tc>
      </w:tr>
    </w:tbl>
    <w:p w14:paraId="26A848A0" w14:textId="77777777" w:rsidR="00EA0568" w:rsidRDefault="00EA0568" w:rsidP="00EA0568">
      <w:pPr>
        <w:pStyle w:val="kol-zadn"/>
        <w:numPr>
          <w:ilvl w:val="0"/>
          <w:numId w:val="0"/>
        </w:numPr>
      </w:pPr>
    </w:p>
    <w:p w14:paraId="20F6E989" w14:textId="77777777" w:rsidR="00EA0568" w:rsidRDefault="00EA0568" w:rsidP="00E6642D">
      <w:pPr>
        <w:pStyle w:val="kol-zadn"/>
        <w:ind w:left="709"/>
      </w:pPr>
      <w:r>
        <w:t>Doplňte u následujících pražských staveb styl, v němž byly postaveny.</w:t>
      </w:r>
    </w:p>
    <w:p w14:paraId="3B69FB38" w14:textId="77777777" w:rsidR="00EA0568" w:rsidRDefault="00EA0568" w:rsidP="00EA0568">
      <w:pPr>
        <w:pStyle w:val="kol-zadn"/>
        <w:numPr>
          <w:ilvl w:val="0"/>
          <w:numId w:val="0"/>
        </w:numPr>
        <w:ind w:left="708"/>
      </w:pPr>
    </w:p>
    <w:p w14:paraId="28307053" w14:textId="56F422EA" w:rsidR="00E6642D" w:rsidRDefault="00EA0568" w:rsidP="00E6642D">
      <w:pPr>
        <w:pStyle w:val="Odrkakostka"/>
      </w:pPr>
      <w:r w:rsidRPr="00463925">
        <w:t>Obecní dům v</w:t>
      </w:r>
      <w:r w:rsidR="00E6642D">
        <w:t> </w:t>
      </w:r>
      <w:r w:rsidRPr="00463925">
        <w:t>Praze</w:t>
      </w:r>
    </w:p>
    <w:p w14:paraId="5B89ADF1" w14:textId="0C7B4450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737BC9F1" w14:textId="6EFF08D3" w:rsidR="00E6642D" w:rsidRDefault="00EA0568" w:rsidP="00E6642D">
      <w:pPr>
        <w:pStyle w:val="Odrkakostka"/>
      </w:pPr>
      <w:r w:rsidRPr="00463925">
        <w:t>Vinohradské divadlo</w:t>
      </w:r>
    </w:p>
    <w:p w14:paraId="00A61530" w14:textId="77777777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651E31E4" w14:textId="772F6603" w:rsidR="00E6642D" w:rsidRDefault="00EA0568" w:rsidP="00E6642D">
      <w:pPr>
        <w:pStyle w:val="Odrkakostka"/>
      </w:pPr>
      <w:r w:rsidRPr="00463925">
        <w:lastRenderedPageBreak/>
        <w:t>Kotěrova vila v</w:t>
      </w:r>
      <w:r w:rsidR="00E6642D">
        <w:t> </w:t>
      </w:r>
      <w:r w:rsidRPr="00463925">
        <w:t>Praze</w:t>
      </w:r>
    </w:p>
    <w:p w14:paraId="7069730E" w14:textId="77777777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362ACEB1" w14:textId="35B26DAA" w:rsidR="00E6642D" w:rsidRDefault="00EA0568" w:rsidP="00E6642D">
      <w:pPr>
        <w:pStyle w:val="Odrkakostka"/>
      </w:pPr>
      <w:r w:rsidRPr="00463925">
        <w:t>dům U Černé Matky Bož</w:t>
      </w:r>
      <w:r w:rsidR="00E6642D">
        <w:t>í</w:t>
      </w:r>
    </w:p>
    <w:p w14:paraId="5D23B013" w14:textId="77777777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7BDAF8B4" w14:textId="6E703BAB" w:rsidR="00E6642D" w:rsidRDefault="00EA0568" w:rsidP="00E6642D">
      <w:pPr>
        <w:pStyle w:val="Odrkakostka"/>
      </w:pPr>
      <w:r w:rsidRPr="00463925">
        <w:t>Veletržní palác v</w:t>
      </w:r>
      <w:r w:rsidR="00E6642D">
        <w:t> </w:t>
      </w:r>
      <w:r w:rsidRPr="00463925">
        <w:t>Praze</w:t>
      </w:r>
    </w:p>
    <w:p w14:paraId="62AE10E6" w14:textId="77777777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6BD77400" w14:textId="14394BE6" w:rsidR="00EA0568" w:rsidRDefault="00EA0568" w:rsidP="00E6642D">
      <w:pPr>
        <w:pStyle w:val="Odrkakostka"/>
      </w:pPr>
      <w:r w:rsidRPr="00463925">
        <w:t>Hlavní nádraží v</w:t>
      </w:r>
      <w:r w:rsidR="00E6642D">
        <w:t> </w:t>
      </w:r>
      <w:r w:rsidRPr="00463925">
        <w:t>Praze</w:t>
      </w:r>
    </w:p>
    <w:p w14:paraId="752161A3" w14:textId="491F543F" w:rsidR="00E6642D" w:rsidRDefault="00E6642D" w:rsidP="00E6642D">
      <w:pPr>
        <w:pStyle w:val="dekodpov"/>
      </w:pPr>
      <w:r>
        <w:t>……………………………………………………………………………………………………………….</w:t>
      </w:r>
    </w:p>
    <w:p w14:paraId="51EFD6E4" w14:textId="77777777" w:rsidR="00E6642D" w:rsidRDefault="00E6642D" w:rsidP="00E6642D">
      <w:pPr>
        <w:pStyle w:val="dekodpov"/>
      </w:pPr>
    </w:p>
    <w:p w14:paraId="1C8F77D8" w14:textId="65D22673" w:rsidR="00EA0568" w:rsidRDefault="00EA0568" w:rsidP="003F7A43">
      <w:pPr>
        <w:pStyle w:val="kol-zadn"/>
        <w:ind w:left="709"/>
      </w:pPr>
      <w:r>
        <w:t xml:space="preserve">V 30. </w:t>
      </w:r>
      <w:r w:rsidRPr="00E6642D">
        <w:t>letech</w:t>
      </w:r>
      <w:r>
        <w:t xml:space="preserve"> vyrostla v Brně v duchu funkcionalismu velmi moderní stavba, kterou dodnes obdivuje celý svět. Ve videu 2 se </w:t>
      </w:r>
      <w:r w:rsidR="003F7A43">
        <w:t xml:space="preserve">o ní </w:t>
      </w:r>
      <w:r>
        <w:t>dozvíte</w:t>
      </w:r>
      <w:r w:rsidR="003F7A43">
        <w:t xml:space="preserve"> více informací. Rozhodněte, zda následujcí tvrzení jsou pravdivá či nikoliv.</w:t>
      </w:r>
    </w:p>
    <w:p w14:paraId="1E15E002" w14:textId="77777777" w:rsidR="003F7A43" w:rsidRDefault="00EA0568" w:rsidP="003F7A43">
      <w:pPr>
        <w:pStyle w:val="Odrkakostka"/>
        <w:tabs>
          <w:tab w:val="left" w:pos="7938"/>
          <w:tab w:val="left" w:pos="9072"/>
        </w:tabs>
        <w:spacing w:after="0" w:line="360" w:lineRule="auto"/>
        <w:ind w:left="714" w:right="698" w:hanging="357"/>
      </w:pPr>
      <w:r>
        <w:t xml:space="preserve">Manželé </w:t>
      </w:r>
      <w:proofErr w:type="spellStart"/>
      <w:r>
        <w:t>Tugendhatovi</w:t>
      </w:r>
      <w:proofErr w:type="spellEnd"/>
      <w:r>
        <w:t xml:space="preserve"> měli jasnou představu o architektonické</w:t>
      </w:r>
    </w:p>
    <w:p w14:paraId="46F5538A" w14:textId="68AE3F6F" w:rsidR="00EA0568" w:rsidRDefault="00EA0568" w:rsidP="003F7A43">
      <w:pPr>
        <w:pStyle w:val="Odrkakostka"/>
        <w:numPr>
          <w:ilvl w:val="0"/>
          <w:numId w:val="0"/>
        </w:numPr>
        <w:tabs>
          <w:tab w:val="left" w:pos="8222"/>
          <w:tab w:val="left" w:pos="9072"/>
        </w:tabs>
        <w:spacing w:line="360" w:lineRule="auto"/>
        <w:ind w:left="720" w:right="272"/>
      </w:pPr>
      <w:r>
        <w:t>podobě svého domu.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4C92A634" w14:textId="447247AA" w:rsidR="00EA0568" w:rsidRDefault="00EA0568" w:rsidP="003F7A43">
      <w:pPr>
        <w:pStyle w:val="Odrkakostka"/>
        <w:tabs>
          <w:tab w:val="left" w:pos="8222"/>
          <w:tab w:val="left" w:pos="9072"/>
        </w:tabs>
        <w:spacing w:line="360" w:lineRule="auto"/>
        <w:ind w:right="272"/>
      </w:pPr>
      <w:r>
        <w:t>Architekt zde porušil všechny zažité konvence.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30FF0743" w14:textId="0476D064" w:rsidR="00EA0568" w:rsidRDefault="00EA0568" w:rsidP="003F7A43">
      <w:pPr>
        <w:pStyle w:val="Odrkakostka"/>
        <w:tabs>
          <w:tab w:val="left" w:pos="8222"/>
          <w:tab w:val="left" w:pos="9072"/>
        </w:tabs>
        <w:spacing w:line="360" w:lineRule="auto"/>
        <w:ind w:right="272"/>
      </w:pPr>
      <w:r>
        <w:t>Na stavbu vily potřeboval architekt 2 milióny korun.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1479F3EA" w14:textId="77777777" w:rsidR="003F7A43" w:rsidRDefault="00EA0568" w:rsidP="003F7A43">
      <w:pPr>
        <w:pStyle w:val="Odrkakostka"/>
        <w:tabs>
          <w:tab w:val="left" w:pos="8222"/>
          <w:tab w:val="left" w:pos="9072"/>
        </w:tabs>
        <w:spacing w:after="0" w:line="360" w:lineRule="auto"/>
        <w:ind w:left="714" w:right="272" w:hanging="357"/>
      </w:pPr>
      <w:r>
        <w:t>Z ulice se do vily vchází do nejvyššího patra domu a dále</w:t>
      </w:r>
    </w:p>
    <w:p w14:paraId="42C65E2C" w14:textId="7BF5CF46" w:rsidR="00EA0568" w:rsidRDefault="00EA0568" w:rsidP="003F7A43">
      <w:pPr>
        <w:pStyle w:val="Odrkakostka"/>
        <w:numPr>
          <w:ilvl w:val="0"/>
          <w:numId w:val="0"/>
        </w:numPr>
        <w:tabs>
          <w:tab w:val="left" w:pos="8222"/>
          <w:tab w:val="left" w:pos="9072"/>
        </w:tabs>
        <w:spacing w:line="360" w:lineRule="auto"/>
        <w:ind w:left="720" w:right="272"/>
      </w:pPr>
      <w:r>
        <w:t>se schodištěm schází do nižších pater.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4F1786BD" w14:textId="5B1DB8A5" w:rsidR="00EA0568" w:rsidRDefault="00EA0568" w:rsidP="003F7A43">
      <w:pPr>
        <w:pStyle w:val="Odrkakostka"/>
        <w:tabs>
          <w:tab w:val="left" w:pos="8222"/>
          <w:tab w:val="left" w:pos="9072"/>
        </w:tabs>
        <w:spacing w:line="360" w:lineRule="auto"/>
        <w:ind w:right="272"/>
      </w:pPr>
      <w:r>
        <w:t>Z terasy domu je výhled na Špilberk.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5498E8CF" w14:textId="76FEDC33" w:rsidR="00EA0568" w:rsidRDefault="00EA0568" w:rsidP="003F7A43">
      <w:pPr>
        <w:pStyle w:val="Odrkakostka"/>
        <w:tabs>
          <w:tab w:val="left" w:pos="8222"/>
          <w:tab w:val="left" w:pos="9072"/>
        </w:tabs>
        <w:spacing w:line="360" w:lineRule="auto"/>
        <w:ind w:right="272"/>
      </w:pPr>
      <w:r>
        <w:t>Hlavní obývací pokoj má rozměry 15 x 25 m.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09283979" w14:textId="3FB3541A" w:rsidR="00EA0568" w:rsidRDefault="00EA0568" w:rsidP="003F7A43">
      <w:pPr>
        <w:pStyle w:val="Odrkakostka"/>
        <w:tabs>
          <w:tab w:val="left" w:pos="8222"/>
          <w:tab w:val="left" w:pos="9072"/>
        </w:tabs>
        <w:spacing w:line="360" w:lineRule="auto"/>
        <w:ind w:right="272"/>
      </w:pPr>
      <w:r>
        <w:t>V budově byla již hned od vzniku zabudována klimatizace.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206983F1" w14:textId="24FFE98E" w:rsidR="003F7A43" w:rsidRDefault="00EA0568" w:rsidP="003F7A43">
      <w:pPr>
        <w:pStyle w:val="Odrkakostka"/>
        <w:numPr>
          <w:ilvl w:val="0"/>
          <w:numId w:val="0"/>
        </w:numPr>
        <w:tabs>
          <w:tab w:val="left" w:pos="8222"/>
          <w:tab w:val="left" w:pos="9072"/>
        </w:tabs>
        <w:spacing w:after="0" w:line="360" w:lineRule="auto"/>
        <w:ind w:left="720" w:right="272"/>
      </w:pPr>
      <w:r>
        <w:t>Nově se zde objevuje propojení několika místností do jednoho</w:t>
      </w:r>
      <w:r w:rsidR="003F7A43">
        <w:t xml:space="preserve"> </w:t>
      </w:r>
      <w:r>
        <w:t>společného</w:t>
      </w:r>
    </w:p>
    <w:p w14:paraId="67319C7D" w14:textId="7AC65035" w:rsidR="00EA0568" w:rsidRDefault="00EA0568" w:rsidP="003F7A43">
      <w:pPr>
        <w:pStyle w:val="Odrkakostka"/>
        <w:numPr>
          <w:ilvl w:val="0"/>
          <w:numId w:val="0"/>
        </w:numPr>
        <w:tabs>
          <w:tab w:val="left" w:pos="8222"/>
          <w:tab w:val="left" w:pos="9072"/>
        </w:tabs>
        <w:spacing w:line="360" w:lineRule="auto"/>
        <w:ind w:left="720" w:right="272"/>
      </w:pPr>
      <w:r>
        <w:t xml:space="preserve">prostoru – pracovny, jídelního koutu, obývacího pokoje a zimní zahrady. </w:t>
      </w:r>
      <w:r w:rsidR="003F7A43">
        <w:tab/>
      </w:r>
      <w:r w:rsidR="003F7A43" w:rsidRPr="00E046DC">
        <w:rPr>
          <w:bdr w:val="single" w:sz="4" w:space="0" w:color="auto"/>
        </w:rPr>
        <w:t>ANO</w:t>
      </w:r>
      <w:r w:rsidR="003F7A43">
        <w:tab/>
      </w:r>
      <w:r w:rsidR="003F7A43" w:rsidRPr="00E046DC">
        <w:rPr>
          <w:bdr w:val="single" w:sz="4" w:space="0" w:color="auto"/>
        </w:rPr>
        <w:t>NE</w:t>
      </w:r>
    </w:p>
    <w:p w14:paraId="754D56D3" w14:textId="7652B877" w:rsidR="00425B47" w:rsidRDefault="00425B4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3267227" w14:textId="4EF5E9CA" w:rsidR="00EA0568" w:rsidRDefault="00EA0568" w:rsidP="00425B47">
      <w:pPr>
        <w:pStyle w:val="kol-zadn"/>
        <w:numPr>
          <w:ilvl w:val="0"/>
          <w:numId w:val="18"/>
        </w:numPr>
        <w:ind w:left="709"/>
      </w:pPr>
      <w:r>
        <w:lastRenderedPageBreak/>
        <w:t xml:space="preserve">Slovinský </w:t>
      </w:r>
      <w:r w:rsidRPr="00425B47">
        <w:t>architekt</w:t>
      </w:r>
      <w:r>
        <w:t xml:space="preserve"> Josip Plečnik pracoval dlouhá léta v Praze. </w:t>
      </w:r>
      <w:r w:rsidR="00425B47">
        <w:t>Najd</w:t>
      </w:r>
      <w:r w:rsidR="00425B47">
        <w:t>ěte</w:t>
      </w:r>
      <w:r w:rsidR="00425B47">
        <w:t xml:space="preserve"> na internetu, kde stojí </w:t>
      </w:r>
      <w:r w:rsidR="00425B47">
        <w:t xml:space="preserve">jeho významná církevní stavba, </w:t>
      </w:r>
      <w:r w:rsidR="00425B47">
        <w:t>kostel Nejsvětější srdce Páně</w:t>
      </w:r>
      <w:r w:rsidR="00425B47">
        <w:t xml:space="preserve">. Zjistěte, jaké má české </w:t>
      </w:r>
      <w:r w:rsidR="00425B47">
        <w:t>„nej“</w:t>
      </w:r>
      <w:r w:rsidR="00425B47">
        <w:t xml:space="preserve">. Za pomoci dalších videí na portálu ČT EDU nebo za pomoci internetu napište, které další stavby v Praze nesou jeho stopu. </w:t>
      </w:r>
    </w:p>
    <w:p w14:paraId="4128D2B3" w14:textId="3C56B4EB" w:rsidR="00EA0568" w:rsidRDefault="00EA0568" w:rsidP="00425B4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425B47">
        <w:t>…………………………………………………………..</w:t>
      </w:r>
    </w:p>
    <w:p w14:paraId="5627F0DF" w14:textId="4BAA4557" w:rsidR="00EA0568" w:rsidRDefault="00EA0568" w:rsidP="00EA0568">
      <w:pPr>
        <w:sectPr w:rsidR="00EA05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5507EAA" w14:textId="77777777" w:rsidR="00EA0568" w:rsidRDefault="00EA0568" w:rsidP="00EA0568">
      <w:pPr>
        <w:pStyle w:val="Sebereflexeka"/>
      </w:pPr>
      <w:r>
        <w:t>Co jsem se touto aktivitou naučil(a):</w:t>
      </w:r>
    </w:p>
    <w:p w14:paraId="0C182FEE" w14:textId="77777777" w:rsidR="00EA0568" w:rsidRDefault="00EA0568" w:rsidP="00EA0568">
      <w:pPr>
        <w:sectPr w:rsidR="00EA05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6F36DB8" w14:textId="77777777" w:rsidR="00EA0568" w:rsidRDefault="00EA0568" w:rsidP="00EA0568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4DE6C" w14:textId="77777777" w:rsidR="00EA0568" w:rsidRDefault="00EA0568" w:rsidP="00EA0568">
      <w:pPr>
        <w:sectPr w:rsidR="00EA056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295A004" w14:textId="77777777" w:rsidR="00EA0568" w:rsidRDefault="00EA0568" w:rsidP="00EA0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87792" wp14:editId="487FE5C5">
                <wp:simplePos x="0" y="0"/>
                <wp:positionH relativeFrom="column">
                  <wp:posOffset>-100965</wp:posOffset>
                </wp:positionH>
                <wp:positionV relativeFrom="paragraph">
                  <wp:posOffset>753745</wp:posOffset>
                </wp:positionV>
                <wp:extent cx="6876415" cy="102235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640" cy="1021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46E46C" w14:textId="77777777" w:rsidR="00EA0568" w:rsidRDefault="00EA0568" w:rsidP="00EA0568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C7B48" wp14:editId="34922B5C">
                                  <wp:extent cx="1223010" cy="414655"/>
                                  <wp:effectExtent l="0" t="0" r="0" b="0"/>
                                  <wp:docPr id="14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2AB5C612" w14:textId="77777777" w:rsidR="00EA0568" w:rsidRDefault="00EA0568" w:rsidP="00EA056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87792" id="Textové pole 2" o:spid="_x0000_s1026" style="position:absolute;margin-left:-7.95pt;margin-top:59.35pt;width:541.45pt;height:80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" filled="f" stroked="f" strokeweight=".26mm">
                <v:textbox>
                  <w:txbxContent>
                    <w:p w14:paraId="3046E46C" w14:textId="77777777" w:rsidR="00EA0568" w:rsidRDefault="00EA0568" w:rsidP="00EA0568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C7B48" wp14:editId="34922B5C">
                            <wp:extent cx="1223010" cy="414655"/>
                            <wp:effectExtent l="0" t="0" r="0" b="0"/>
                            <wp:docPr id="14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2AB5C612" w14:textId="77777777" w:rsidR="00EA0568" w:rsidRDefault="00EA0568" w:rsidP="00EA0568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0B12F0" w14:textId="5BB58064" w:rsidR="00241D37" w:rsidRPr="00EA0568" w:rsidRDefault="00241D37" w:rsidP="00EA0568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241D37" w:rsidRPr="00EA0568" w:rsidSect="00EE3316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4E94" w14:textId="77777777" w:rsidR="002B1B03" w:rsidRDefault="002B1B03">
      <w:pPr>
        <w:spacing w:after="0" w:line="240" w:lineRule="auto"/>
      </w:pPr>
      <w:r>
        <w:separator/>
      </w:r>
    </w:p>
  </w:endnote>
  <w:endnote w:type="continuationSeparator" w:id="0">
    <w:p w14:paraId="1A96BF55" w14:textId="77777777" w:rsidR="002B1B03" w:rsidRDefault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A0568" w14:paraId="1501BA11" w14:textId="77777777">
      <w:tc>
        <w:tcPr>
          <w:tcW w:w="3485" w:type="dxa"/>
          <w:shd w:val="clear" w:color="auto" w:fill="auto"/>
        </w:tcPr>
        <w:p w14:paraId="479B3177" w14:textId="77777777" w:rsidR="00EA0568" w:rsidRDefault="00EA0568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27C57062" w14:textId="77777777" w:rsidR="00EA0568" w:rsidRDefault="00EA0568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5C752462" w14:textId="77777777" w:rsidR="00EA0568" w:rsidRDefault="00EA0568">
          <w:pPr>
            <w:pStyle w:val="Zhlav"/>
            <w:ind w:right="-115"/>
            <w:jc w:val="right"/>
          </w:pPr>
        </w:p>
      </w:tc>
    </w:tr>
  </w:tbl>
  <w:p w14:paraId="7E4BD851" w14:textId="77777777" w:rsidR="00EA0568" w:rsidRDefault="00EA0568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48B9AA73" wp14:editId="15CCEA93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F13B" w14:textId="77777777" w:rsidR="002B1B03" w:rsidRDefault="002B1B03">
      <w:pPr>
        <w:spacing w:after="0" w:line="240" w:lineRule="auto"/>
      </w:pPr>
      <w:r>
        <w:separator/>
      </w:r>
    </w:p>
  </w:footnote>
  <w:footnote w:type="continuationSeparator" w:id="0">
    <w:p w14:paraId="4D05DF56" w14:textId="77777777" w:rsidR="002B1B03" w:rsidRDefault="002B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EA0568" w14:paraId="79024156" w14:textId="77777777">
      <w:trPr>
        <w:trHeight w:val="1278"/>
      </w:trPr>
      <w:tc>
        <w:tcPr>
          <w:tcW w:w="10455" w:type="dxa"/>
          <w:shd w:val="clear" w:color="auto" w:fill="auto"/>
        </w:tcPr>
        <w:p w14:paraId="6D9E9D37" w14:textId="77777777" w:rsidR="00EA0568" w:rsidRDefault="00EA05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25F2EC" wp14:editId="0CE5033B">
                <wp:extent cx="6553200" cy="569595"/>
                <wp:effectExtent l="0" t="0" r="0" b="0"/>
                <wp:docPr id="1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9171E8" w14:textId="77777777" w:rsidR="00EA0568" w:rsidRDefault="00EA05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4456" w14:textId="77777777" w:rsidR="00EA0568" w:rsidRDefault="00EA0568">
    <w:pPr>
      <w:pStyle w:val="Zhlav"/>
    </w:pPr>
    <w:r>
      <w:rPr>
        <w:noProof/>
      </w:rPr>
      <w:drawing>
        <wp:inline distT="0" distB="0" distL="0" distR="0" wp14:anchorId="714FD959" wp14:editId="1F522445">
          <wp:extent cx="6553200" cy="1009650"/>
          <wp:effectExtent l="0" t="0" r="0" b="0"/>
          <wp:docPr id="1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5.55pt;height:3.95pt" o:bullet="t">
        <v:imagedata r:id="rId1" o:title="odrazka"/>
      </v:shape>
    </w:pict>
  </w:numPicBullet>
  <w:numPicBullet w:numPicBulletId="1">
    <w:pict>
      <v:shape id="_x0000_i1140" type="#_x0000_t75" style="width:5.55pt;height:3.95pt" o:bullet="t">
        <v:imagedata r:id="rId2" o:title="videoodrazka"/>
      </v:shape>
    </w:pict>
  </w:numPicBullet>
  <w:numPicBullet w:numPicBulletId="2">
    <w:pict>
      <v:shape id="_x0000_i1141" type="#_x0000_t75" style="width:12.65pt;height:12.65pt" o:bullet="t">
        <v:imagedata r:id="rId3" o:title="videoodrazka"/>
      </v:shape>
    </w:pict>
  </w:numPicBullet>
  <w:numPicBullet w:numPicBulletId="3">
    <w:pict>
      <v:shape id="_x0000_i1142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F3660"/>
    <w:multiLevelType w:val="hybridMultilevel"/>
    <w:tmpl w:val="CE46F2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4C2"/>
    <w:multiLevelType w:val="multilevel"/>
    <w:tmpl w:val="2C1CA362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E445E0"/>
    <w:multiLevelType w:val="hybridMultilevel"/>
    <w:tmpl w:val="439E70B6"/>
    <w:lvl w:ilvl="0" w:tplc="9FC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B1B03"/>
    <w:rsid w:val="002C10F6"/>
    <w:rsid w:val="002D5A52"/>
    <w:rsid w:val="00301E59"/>
    <w:rsid w:val="003F7A43"/>
    <w:rsid w:val="004210B0"/>
    <w:rsid w:val="00425B47"/>
    <w:rsid w:val="00443A5E"/>
    <w:rsid w:val="005228FE"/>
    <w:rsid w:val="005E2369"/>
    <w:rsid w:val="00643389"/>
    <w:rsid w:val="00777383"/>
    <w:rsid w:val="007D2437"/>
    <w:rsid w:val="008311C7"/>
    <w:rsid w:val="008456A5"/>
    <w:rsid w:val="008D05FE"/>
    <w:rsid w:val="009D05FB"/>
    <w:rsid w:val="00AD1C92"/>
    <w:rsid w:val="00B16A1A"/>
    <w:rsid w:val="00BC46D4"/>
    <w:rsid w:val="00C31B60"/>
    <w:rsid w:val="00CE28A6"/>
    <w:rsid w:val="00D334AC"/>
    <w:rsid w:val="00D85463"/>
    <w:rsid w:val="00DB1C28"/>
    <w:rsid w:val="00DB4536"/>
    <w:rsid w:val="00E0332A"/>
    <w:rsid w:val="00E6642D"/>
    <w:rsid w:val="00E77B64"/>
    <w:rsid w:val="00EA0568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EA0568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EA0568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EA0568"/>
  </w:style>
  <w:style w:type="paragraph" w:customStyle="1" w:styleId="Obsahrmce">
    <w:name w:val="Obsah rámce"/>
    <w:basedOn w:val="Normln"/>
    <w:qFormat/>
    <w:rsid w:val="00EA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porad/sumne-stopy?vsrc=video&amp;vsrcid=architekt-joze-plecn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613-dedictvi-unesco-vila-tugendha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41-architektonicka-promena-prahy-za-prvni-republik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2022-03-13T16:03:00Z</dcterms:created>
  <dcterms:modified xsi:type="dcterms:W3CDTF">2022-03-13T16:03:00Z</dcterms:modified>
</cp:coreProperties>
</file>