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B60" w:rsidRPr="005A15D4" w:rsidRDefault="0074718D" w:rsidP="005A15D4">
      <w:pPr>
        <w:pStyle w:val="Nadpis1"/>
        <w:rPr>
          <w:rFonts w:ascii="Calibri" w:eastAsia="Calibri" w:hAnsi="Calibri" w:cs="Calibri"/>
          <w:b/>
          <w:lang w:val="cs-CZ"/>
        </w:rPr>
      </w:pPr>
      <w:r>
        <w:rPr>
          <w:rFonts w:ascii="Calibri" w:eastAsia="Calibri" w:hAnsi="Calibri" w:cs="Calibri"/>
          <w:b/>
          <w:lang w:val="cs-CZ"/>
        </w:rPr>
        <w:t>Procenta</w:t>
      </w:r>
      <w:r w:rsidR="00EF1A58">
        <w:rPr>
          <w:rFonts w:ascii="Calibri" w:eastAsia="Calibri" w:hAnsi="Calibri" w:cs="Calibri"/>
          <w:b/>
          <w:lang w:val="cs-CZ"/>
        </w:rPr>
        <w:t>, tabulky</w:t>
      </w:r>
      <w:r>
        <w:rPr>
          <w:rFonts w:ascii="Calibri" w:eastAsia="Calibri" w:hAnsi="Calibri" w:cs="Calibri"/>
          <w:b/>
          <w:lang w:val="cs-CZ"/>
        </w:rPr>
        <w:t xml:space="preserve"> a grafy</w:t>
      </w:r>
    </w:p>
    <w:p w:rsidR="00115B60" w:rsidRPr="00A666CC" w:rsidRDefault="007C6424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>S procenty se setkáváme skoro každý den, například při nakupování v</w:t>
      </w:r>
      <w:r w:rsidR="00A13659">
        <w:rPr>
          <w:rFonts w:ascii="Calibri" w:eastAsia="Calibri" w:hAnsi="Calibri" w:cs="Calibri"/>
          <w:lang w:val="cs-CZ"/>
        </w:rPr>
        <w:t> </w:t>
      </w:r>
      <w:r>
        <w:rPr>
          <w:rFonts w:ascii="Calibri" w:eastAsia="Calibri" w:hAnsi="Calibri" w:cs="Calibri"/>
          <w:lang w:val="cs-CZ"/>
        </w:rPr>
        <w:t>supermarketu</w:t>
      </w:r>
      <w:r w:rsidR="00790884">
        <w:rPr>
          <w:rFonts w:ascii="Calibri" w:eastAsia="Calibri" w:hAnsi="Calibri" w:cs="Calibri"/>
          <w:lang w:val="cs-CZ"/>
        </w:rPr>
        <w:t>.</w:t>
      </w:r>
      <w:r w:rsidR="00A13659">
        <w:rPr>
          <w:rFonts w:ascii="Calibri" w:eastAsia="Calibri" w:hAnsi="Calibri" w:cs="Calibri"/>
          <w:lang w:val="cs-CZ"/>
        </w:rPr>
        <w:t xml:space="preserve"> </w:t>
      </w:r>
      <w:r w:rsidR="00790884">
        <w:rPr>
          <w:rFonts w:ascii="Calibri" w:eastAsia="Calibri" w:hAnsi="Calibri" w:cs="Calibri"/>
          <w:lang w:val="cs-CZ"/>
        </w:rPr>
        <w:t>P</w:t>
      </w:r>
      <w:r w:rsidR="00A13659">
        <w:rPr>
          <w:rFonts w:ascii="Calibri" w:eastAsia="Calibri" w:hAnsi="Calibri" w:cs="Calibri"/>
          <w:lang w:val="cs-CZ"/>
        </w:rPr>
        <w:t>roto je dobré umět je velmi rychle spočítat. Tabulky a grafy nám zase přehledně popisují nějakou situaci, je však nutné umět se v nich vyznat. Nezapomínejme, že než začneme graf či tabulku řešit, musíme si je dob</w:t>
      </w:r>
      <w:bookmarkStart w:id="0" w:name="_GoBack"/>
      <w:bookmarkEnd w:id="0"/>
      <w:r w:rsidR="00A13659">
        <w:rPr>
          <w:rFonts w:ascii="Calibri" w:eastAsia="Calibri" w:hAnsi="Calibri" w:cs="Calibri"/>
          <w:lang w:val="cs-CZ"/>
        </w:rPr>
        <w:t>ře prohlédnout a nejprve pochopit, co vlastně znázorňují. Vše si procvičíme v tomto pracovním listě.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115B60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25619B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Video: </w:t>
            </w:r>
            <w:hyperlink r:id="rId6" w:history="1">
              <w:proofErr w:type="spellStart"/>
              <w:r w:rsidR="00EF1A58" w:rsidRPr="00EF1A58">
                <w:rPr>
                  <w:rStyle w:val="Hypertextovodkaz"/>
                  <w:rFonts w:ascii="Calibri" w:eastAsia="Calibri" w:hAnsi="Calibri" w:cs="Calibri"/>
                  <w:b/>
                </w:rPr>
                <w:t>Nebojte</w:t>
              </w:r>
              <w:proofErr w:type="spellEnd"/>
              <w:r w:rsidR="00EF1A58" w:rsidRPr="00EF1A58">
                <w:rPr>
                  <w:rStyle w:val="Hypertextovodkaz"/>
                  <w:rFonts w:ascii="Calibri" w:eastAsia="Calibri" w:hAnsi="Calibri" w:cs="Calibri"/>
                  <w:b/>
                </w:rPr>
                <w:t xml:space="preserve"> se </w:t>
              </w:r>
              <w:proofErr w:type="spellStart"/>
              <w:r w:rsidR="00EF1A58" w:rsidRPr="00EF1A58">
                <w:rPr>
                  <w:rStyle w:val="Hypertextovodkaz"/>
                  <w:rFonts w:ascii="Calibri" w:eastAsia="Calibri" w:hAnsi="Calibri" w:cs="Calibri"/>
                  <w:b/>
                </w:rPr>
                <w:t>matematiky</w:t>
              </w:r>
              <w:proofErr w:type="spellEnd"/>
              <w:r w:rsidR="00EF1A58" w:rsidRPr="00EF1A58">
                <w:rPr>
                  <w:rStyle w:val="Hypertextovodkaz"/>
                  <w:rFonts w:ascii="Calibri" w:eastAsia="Calibri" w:hAnsi="Calibri" w:cs="Calibri"/>
                  <w:b/>
                </w:rPr>
                <w:t xml:space="preserve">: </w:t>
              </w:r>
              <w:proofErr w:type="spellStart"/>
              <w:r w:rsidR="00EF1A58" w:rsidRPr="00EF1A58">
                <w:rPr>
                  <w:rStyle w:val="Hypertextovodkaz"/>
                  <w:rFonts w:ascii="Calibri" w:eastAsia="Calibri" w:hAnsi="Calibri" w:cs="Calibri"/>
                  <w:b/>
                </w:rPr>
                <w:t>Procenta</w:t>
              </w:r>
              <w:proofErr w:type="spellEnd"/>
              <w:r w:rsidR="00EF1A58" w:rsidRPr="00EF1A58">
                <w:rPr>
                  <w:rStyle w:val="Hypertextovodkaz"/>
                  <w:rFonts w:ascii="Calibri" w:eastAsia="Calibri" w:hAnsi="Calibri" w:cs="Calibri"/>
                  <w:b/>
                </w:rPr>
                <w:t xml:space="preserve">, </w:t>
              </w:r>
              <w:proofErr w:type="spellStart"/>
              <w:r w:rsidR="00EF1A58" w:rsidRPr="00EF1A58">
                <w:rPr>
                  <w:rStyle w:val="Hypertextovodkaz"/>
                  <w:rFonts w:ascii="Calibri" w:eastAsia="Calibri" w:hAnsi="Calibri" w:cs="Calibri"/>
                  <w:b/>
                </w:rPr>
                <w:t>tabulky</w:t>
              </w:r>
              <w:proofErr w:type="spellEnd"/>
              <w:r w:rsidR="00EF1A58" w:rsidRPr="00EF1A58">
                <w:rPr>
                  <w:rStyle w:val="Hypertextovodkaz"/>
                  <w:rFonts w:ascii="Calibri" w:eastAsia="Calibri" w:hAnsi="Calibri" w:cs="Calibri"/>
                  <w:b/>
                </w:rPr>
                <w:t xml:space="preserve"> a </w:t>
              </w:r>
              <w:proofErr w:type="spellStart"/>
              <w:r w:rsidR="00EF1A58" w:rsidRPr="00EF1A58">
                <w:rPr>
                  <w:rStyle w:val="Hypertextovodkaz"/>
                  <w:rFonts w:ascii="Calibri" w:eastAsia="Calibri" w:hAnsi="Calibri" w:cs="Calibri"/>
                  <w:b/>
                </w:rPr>
                <w:t>grafy</w:t>
              </w:r>
              <w:proofErr w:type="spellEnd"/>
            </w:hyperlink>
            <w:r w:rsidR="00EF1A58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</w:tr>
      <w:tr w:rsidR="00115B60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115B60" w:rsidTr="002B12F9">
        <w:trPr>
          <w:trHeight w:val="841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2B12F9">
            <w:pPr>
              <w:rPr>
                <w:rFonts w:ascii="Calibri" w:eastAsia="Calibri" w:hAnsi="Calibri" w:cs="Calibri"/>
              </w:rPr>
            </w:pPr>
            <w:r>
              <w:object w:dxaOrig="9432" w:dyaOrig="54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1.5pt;height:272pt" o:ole="">
                  <v:imagedata r:id="rId7" o:title=""/>
                </v:shape>
                <o:OLEObject Type="Embed" ProgID="PBrush" ShapeID="_x0000_i1025" DrawAspect="Content" ObjectID="_1722329123" r:id="rId8"/>
              </w:objec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115B60" w:rsidTr="002B12F9">
        <w:trPr>
          <w:trHeight w:val="5726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2B12F9">
            <w:pPr>
              <w:rPr>
                <w:rFonts w:ascii="Calibri" w:eastAsia="Calibri" w:hAnsi="Calibri" w:cs="Calibri"/>
                <w:b/>
              </w:rPr>
            </w:pPr>
            <w:r>
              <w:object w:dxaOrig="9756" w:dyaOrig="4848">
                <v:shape id="_x0000_i1026" type="#_x0000_t75" style="width:487.5pt;height:242pt" o:ole="">
                  <v:imagedata r:id="rId9" o:title=""/>
                </v:shape>
                <o:OLEObject Type="Embed" ProgID="PBrush" ShapeID="_x0000_i1026" DrawAspect="Content" ObjectID="_1722329124" r:id="rId10"/>
              </w:objec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2B12F9" w:rsidTr="00B11123">
        <w:trPr>
          <w:trHeight w:val="8561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B12F9" w:rsidRDefault="000E406B">
            <w:r>
              <w:object w:dxaOrig="9492" w:dyaOrig="6408">
                <v:shape id="_x0000_i1027" type="#_x0000_t75" style="width:474.5pt;height:320.5pt" o:ole="">
                  <v:imagedata r:id="rId11" o:title=""/>
                </v:shape>
                <o:OLEObject Type="Embed" ProgID="PBrush" ShapeID="_x0000_i1027" DrawAspect="Content" ObjectID="_1722329125" r:id="rId12"/>
              </w:objec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B12F9" w:rsidRDefault="002B12F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B12F9" w:rsidRDefault="002B12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115B60" w:rsidRDefault="00115B60">
      <w:pPr>
        <w:rPr>
          <w:rFonts w:ascii="Calibri" w:eastAsia="Calibri" w:hAnsi="Calibri" w:cs="Calibri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115B60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B11123">
            <w:pPr>
              <w:rPr>
                <w:rFonts w:ascii="Calibri" w:eastAsia="Calibri" w:hAnsi="Calibri" w:cs="Calibri"/>
                <w:b/>
              </w:rPr>
            </w:pPr>
            <w:r>
              <w:object w:dxaOrig="6504" w:dyaOrig="3768">
                <v:shape id="_x0000_i1028" type="#_x0000_t75" style="width:325.5pt;height:188pt" o:ole="">
                  <v:imagedata r:id="rId13" o:title=""/>
                </v:shape>
                <o:OLEObject Type="Embed" ProgID="PBrush" ShapeID="_x0000_i1028" DrawAspect="Content" ObjectID="_1722329126" r:id="rId14"/>
              </w:object>
            </w:r>
          </w:p>
        </w:tc>
      </w:tr>
      <w:tr w:rsidR="00115B60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790884">
            <w:pPr>
              <w:rPr>
                <w:rFonts w:ascii="Calibri" w:eastAsia="Calibri" w:hAnsi="Calibri" w:cs="Calibri"/>
                <w:b/>
              </w:rPr>
            </w:pPr>
            <w:r>
              <w:object w:dxaOrig="11594" w:dyaOrig="12557">
                <v:shape id="_x0000_i1029" type="#_x0000_t75" style="width:520pt;height:562.5pt" o:ole="">
                  <v:imagedata r:id="rId15" o:title=""/>
                </v:shape>
                <o:OLEObject Type="Embed" ProgID="PBrush" ShapeID="_x0000_i1029" DrawAspect="Content" ObjectID="_1722329127" r:id="rId16"/>
              </w:object>
            </w:r>
          </w:p>
        </w:tc>
      </w:tr>
      <w:tr w:rsidR="00115B60" w:rsidTr="002A1452">
        <w:trPr>
          <w:trHeight w:val="12231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B11123">
            <w:pPr>
              <w:rPr>
                <w:rFonts w:ascii="Calibri" w:eastAsia="Calibri" w:hAnsi="Calibri" w:cs="Calibri"/>
                <w:b/>
              </w:rPr>
            </w:pPr>
            <w:r>
              <w:object w:dxaOrig="9828" w:dyaOrig="8124">
                <v:shape id="_x0000_i1030" type="#_x0000_t75" style="width:491.5pt;height:406.5pt" o:ole="">
                  <v:imagedata r:id="rId17" o:title=""/>
                </v:shape>
                <o:OLEObject Type="Embed" ProgID="PBrush" ShapeID="_x0000_i1030" DrawAspect="Content" ObjectID="_1722329128" r:id="rId18"/>
              </w:object>
            </w:r>
          </w:p>
        </w:tc>
      </w:tr>
      <w:tr w:rsidR="00115B60" w:rsidTr="002A1452">
        <w:trPr>
          <w:trHeight w:val="14074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2A1452">
            <w:pPr>
              <w:rPr>
                <w:rFonts w:ascii="Calibri" w:eastAsia="Calibri" w:hAnsi="Calibri" w:cs="Calibri"/>
                <w:b/>
              </w:rPr>
            </w:pPr>
            <w:r>
              <w:object w:dxaOrig="9480" w:dyaOrig="8064">
                <v:shape id="_x0000_i1031" type="#_x0000_t75" style="width:474pt;height:403.5pt" o:ole="">
                  <v:imagedata r:id="rId19" o:title=""/>
                </v:shape>
                <o:OLEObject Type="Embed" ProgID="PBrush" ShapeID="_x0000_i1031" DrawAspect="Content" ObjectID="_1722329129" r:id="rId20"/>
              </w:object>
            </w:r>
          </w:p>
        </w:tc>
      </w:tr>
    </w:tbl>
    <w:p w:rsidR="00115B60" w:rsidRDefault="00115B60">
      <w:pPr>
        <w:rPr>
          <w:rFonts w:ascii="Calibri" w:eastAsia="Calibri" w:hAnsi="Calibri" w:cs="Calibri"/>
        </w:rPr>
      </w:pPr>
    </w:p>
    <w:p w:rsidR="00115B60" w:rsidRDefault="00115B60">
      <w:pPr>
        <w:rPr>
          <w:rFonts w:ascii="Calibri" w:eastAsia="Calibri" w:hAnsi="Calibri" w:cs="Calibri"/>
        </w:rPr>
      </w:pPr>
    </w:p>
    <w:sectPr w:rsidR="00115B60">
      <w:headerReference w:type="default" r:id="rId21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498D" w:rsidRDefault="005E498D">
      <w:r>
        <w:separator/>
      </w:r>
    </w:p>
  </w:endnote>
  <w:endnote w:type="continuationSeparator" w:id="0">
    <w:p w:rsidR="005E498D" w:rsidRDefault="005E4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498D" w:rsidRDefault="005E498D">
      <w:r>
        <w:separator/>
      </w:r>
    </w:p>
  </w:footnote>
  <w:footnote w:type="continuationSeparator" w:id="0">
    <w:p w:rsidR="005E498D" w:rsidRDefault="005E4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B60" w:rsidRDefault="0025619B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115B60" w:rsidRPr="00A666CC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115B60" w:rsidRPr="00A666CC" w:rsidRDefault="0074718D">
          <w:pPr>
            <w:rPr>
              <w:b/>
              <w:lang w:val="cs-CZ"/>
            </w:rPr>
          </w:pPr>
          <w:r>
            <w:rPr>
              <w:b/>
              <w:lang w:val="cs-CZ"/>
            </w:rPr>
            <w:t>Procenta</w:t>
          </w:r>
          <w:r w:rsidR="00EF1A58">
            <w:rPr>
              <w:b/>
              <w:lang w:val="cs-CZ"/>
            </w:rPr>
            <w:t>, tabulky</w:t>
          </w:r>
          <w:r>
            <w:rPr>
              <w:b/>
              <w:lang w:val="cs-CZ"/>
            </w:rPr>
            <w:t xml:space="preserve"> a grafy</w:t>
          </w:r>
        </w:p>
        <w:p w:rsidR="00115B60" w:rsidRPr="00A666CC" w:rsidRDefault="0025619B">
          <w:pPr>
            <w:rPr>
              <w:color w:val="666666"/>
              <w:sz w:val="20"/>
              <w:szCs w:val="20"/>
              <w:lang w:val="cs-CZ"/>
            </w:rPr>
          </w:pPr>
          <w:r w:rsidRPr="00A666CC">
            <w:rPr>
              <w:color w:val="666666"/>
              <w:sz w:val="20"/>
              <w:szCs w:val="20"/>
              <w:lang w:val="cs-CZ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115B60" w:rsidRPr="00A666CC" w:rsidRDefault="0025619B">
          <w:pPr>
            <w:jc w:val="right"/>
            <w:rPr>
              <w:lang w:val="cs-CZ"/>
            </w:rPr>
          </w:pPr>
          <w:r w:rsidRPr="00A666CC">
            <w:rPr>
              <w:lang w:val="cs-CZ"/>
            </w:rPr>
            <w:t>Jméno žáka:</w:t>
          </w:r>
        </w:p>
      </w:tc>
    </w:tr>
  </w:tbl>
  <w:p w:rsidR="00115B60" w:rsidRDefault="0025619B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B60"/>
    <w:rsid w:val="000B03AF"/>
    <w:rsid w:val="000E406B"/>
    <w:rsid w:val="00115B60"/>
    <w:rsid w:val="0025619B"/>
    <w:rsid w:val="002A1452"/>
    <w:rsid w:val="002B12F9"/>
    <w:rsid w:val="005178E4"/>
    <w:rsid w:val="005A15D4"/>
    <w:rsid w:val="005E4370"/>
    <w:rsid w:val="005E498D"/>
    <w:rsid w:val="0074718D"/>
    <w:rsid w:val="00790884"/>
    <w:rsid w:val="007C6424"/>
    <w:rsid w:val="00A13659"/>
    <w:rsid w:val="00A666CC"/>
    <w:rsid w:val="00B11123"/>
    <w:rsid w:val="00BA105D"/>
    <w:rsid w:val="00EF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A0DC8"/>
  <w15:docId w15:val="{34E5F018-DBE4-4ECA-9B50-2688057D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666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66CC"/>
  </w:style>
  <w:style w:type="paragraph" w:styleId="Zpat">
    <w:name w:val="footer"/>
    <w:basedOn w:val="Normln"/>
    <w:link w:val="ZpatChar"/>
    <w:uiPriority w:val="99"/>
    <w:unhideWhenUsed/>
    <w:rsid w:val="00A666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666CC"/>
  </w:style>
  <w:style w:type="paragraph" w:styleId="Textbubliny">
    <w:name w:val="Balloon Text"/>
    <w:basedOn w:val="Normln"/>
    <w:link w:val="TextbublinyChar"/>
    <w:uiPriority w:val="99"/>
    <w:semiHidden/>
    <w:unhideWhenUsed/>
    <w:rsid w:val="0079088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088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F1A5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F1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hyperlink" Target="https://edu.ceskatelevize.cz/video/8325-nebojte-se-matematiky-procenta-tabulky-a-grafy?vsrc=pracovni-list&amp;vsrcid=nebojte-se-matematiky%2Fpracovni-list-procenta-tabulky-grafy.docx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Konečná Dominika</dc:creator>
  <cp:lastModifiedBy>Konečná Dominika</cp:lastModifiedBy>
  <cp:revision>2</cp:revision>
  <dcterms:created xsi:type="dcterms:W3CDTF">2022-08-18T09:59:00Z</dcterms:created>
  <dcterms:modified xsi:type="dcterms:W3CDTF">2022-08-18T09:59:00Z</dcterms:modified>
</cp:coreProperties>
</file>